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ayout w:type="fixed"/>
        <w:tblLook w:val="04A0" w:firstRow="1" w:lastRow="0" w:firstColumn="1" w:lastColumn="0" w:noHBand="0" w:noVBand="1"/>
      </w:tblPr>
      <w:tblGrid>
        <w:gridCol w:w="4677"/>
        <w:gridCol w:w="4677"/>
      </w:tblGrid>
      <w:tr w:rsidR="00DA6749" w:rsidRPr="00644A5E" w14:paraId="30316FE4" w14:textId="77777777" w:rsidTr="003F62CA">
        <w:trPr>
          <w:trHeight w:hRule="exact" w:val="1544"/>
        </w:trPr>
        <w:tc>
          <w:tcPr>
            <w:tcW w:w="4677" w:type="dxa"/>
          </w:tcPr>
          <w:p w14:paraId="7274904D" w14:textId="4AFEB27D" w:rsidR="00E31CCA" w:rsidRPr="00644A5E" w:rsidRDefault="00516C1E" w:rsidP="006C6410">
            <w:pPr>
              <w:pStyle w:val="Umschlagadresse"/>
              <w:rPr>
                <w:rFonts w:cstheme="majorHAnsi"/>
                <w:szCs w:val="22"/>
              </w:rPr>
            </w:pPr>
            <w:r w:rsidRPr="00644A5E">
              <w:rPr>
                <w:rFonts w:cstheme="majorHAnsi"/>
                <w:szCs w:val="22"/>
              </w:rPr>
              <w:t>Bundesrätin Elisabeth Baume-Schneider</w:t>
            </w:r>
          </w:p>
          <w:p w14:paraId="341B3BA6" w14:textId="77777777" w:rsidR="0004572B" w:rsidRPr="00644A5E" w:rsidRDefault="0004572B" w:rsidP="006C6410">
            <w:pPr>
              <w:pStyle w:val="Umschlagadresse"/>
              <w:rPr>
                <w:rFonts w:cstheme="majorHAnsi"/>
                <w:szCs w:val="22"/>
              </w:rPr>
            </w:pPr>
            <w:r w:rsidRPr="00644A5E">
              <w:rPr>
                <w:rFonts w:cstheme="majorHAnsi"/>
                <w:szCs w:val="22"/>
              </w:rPr>
              <w:t>Bundesamt für Sozialversicherungen</w:t>
            </w:r>
          </w:p>
          <w:p w14:paraId="13CC294C" w14:textId="77777777" w:rsidR="0004572B" w:rsidRPr="00644A5E" w:rsidRDefault="0004572B" w:rsidP="006C6410">
            <w:pPr>
              <w:pStyle w:val="Umschlagadresse"/>
              <w:rPr>
                <w:rFonts w:cstheme="majorHAnsi"/>
                <w:szCs w:val="22"/>
              </w:rPr>
            </w:pPr>
            <w:r w:rsidRPr="00644A5E">
              <w:rPr>
                <w:rFonts w:cstheme="majorHAnsi"/>
                <w:szCs w:val="22"/>
              </w:rPr>
              <w:t>Effingerstrasse 20</w:t>
            </w:r>
          </w:p>
          <w:p w14:paraId="25EC6909" w14:textId="1A5901DB" w:rsidR="00316F80" w:rsidRPr="00644A5E" w:rsidRDefault="0004572B" w:rsidP="006C6410">
            <w:pPr>
              <w:pStyle w:val="Umschlagadresse"/>
              <w:rPr>
                <w:rFonts w:cstheme="majorHAnsi"/>
                <w:szCs w:val="22"/>
              </w:rPr>
            </w:pPr>
            <w:r w:rsidRPr="00644A5E">
              <w:rPr>
                <w:rFonts w:cstheme="majorHAnsi"/>
                <w:szCs w:val="22"/>
              </w:rPr>
              <w:t>CH-3003 Bern</w:t>
            </w:r>
          </w:p>
        </w:tc>
        <w:tc>
          <w:tcPr>
            <w:tcW w:w="4677" w:type="dxa"/>
          </w:tcPr>
          <w:p w14:paraId="79864C7E" w14:textId="77777777" w:rsidR="005C5E97" w:rsidRPr="00644A5E" w:rsidRDefault="005C5E97" w:rsidP="006C6410">
            <w:pPr>
              <w:rPr>
                <w:rFonts w:asciiTheme="majorHAnsi" w:hAnsiTheme="majorHAnsi" w:cstheme="majorHAnsi"/>
                <w:szCs w:val="22"/>
              </w:rPr>
            </w:pPr>
          </w:p>
        </w:tc>
      </w:tr>
      <w:tr w:rsidR="00DA6749" w:rsidRPr="00644A5E" w14:paraId="1A852497" w14:textId="77777777" w:rsidTr="003F62CA">
        <w:trPr>
          <w:trHeight w:hRule="exact" w:val="292"/>
        </w:trPr>
        <w:tc>
          <w:tcPr>
            <w:tcW w:w="9354" w:type="dxa"/>
            <w:gridSpan w:val="2"/>
          </w:tcPr>
          <w:p w14:paraId="739E49E1" w14:textId="1A15F04F" w:rsidR="0037387C" w:rsidRPr="00644A5E" w:rsidRDefault="0037387C" w:rsidP="006C6410">
            <w:pPr>
              <w:rPr>
                <w:rFonts w:asciiTheme="majorHAnsi" w:hAnsiTheme="majorHAnsi" w:cstheme="majorHAnsi"/>
                <w:szCs w:val="22"/>
              </w:rPr>
            </w:pPr>
          </w:p>
        </w:tc>
      </w:tr>
      <w:tr w:rsidR="00DA6749" w:rsidRPr="00644A5E" w14:paraId="33DFA460" w14:textId="77777777" w:rsidTr="0037387C">
        <w:tc>
          <w:tcPr>
            <w:tcW w:w="9354" w:type="dxa"/>
            <w:gridSpan w:val="2"/>
          </w:tcPr>
          <w:p w14:paraId="00D98568" w14:textId="633DAB49" w:rsidR="0037387C" w:rsidRPr="00644A5E" w:rsidRDefault="00137D99" w:rsidP="006C6410">
            <w:pPr>
              <w:rPr>
                <w:rFonts w:asciiTheme="majorHAnsi" w:hAnsiTheme="majorHAnsi" w:cstheme="majorHAnsi"/>
                <w:szCs w:val="22"/>
              </w:rPr>
            </w:pPr>
            <w:r w:rsidRPr="00644A5E">
              <w:rPr>
                <w:rFonts w:asciiTheme="majorHAnsi" w:hAnsiTheme="majorHAnsi" w:cstheme="majorHAnsi"/>
                <w:szCs w:val="22"/>
              </w:rPr>
              <w:t>Zürich</w:t>
            </w:r>
            <w:r w:rsidR="0037387C" w:rsidRPr="00644A5E">
              <w:rPr>
                <w:rFonts w:asciiTheme="majorHAnsi" w:hAnsiTheme="majorHAnsi" w:cstheme="majorHAnsi"/>
                <w:szCs w:val="22"/>
              </w:rPr>
              <w:t xml:space="preserve">, </w:t>
            </w:r>
            <w:r w:rsidR="00663FF0">
              <w:rPr>
                <w:rFonts w:asciiTheme="majorHAnsi" w:hAnsiTheme="majorHAnsi" w:cstheme="majorHAnsi"/>
                <w:szCs w:val="22"/>
              </w:rPr>
              <w:t>27</w:t>
            </w:r>
            <w:r w:rsidR="00516C1E" w:rsidRPr="00644A5E">
              <w:rPr>
                <w:rFonts w:asciiTheme="majorHAnsi" w:hAnsiTheme="majorHAnsi" w:cstheme="majorHAnsi"/>
                <w:szCs w:val="22"/>
              </w:rPr>
              <w:t xml:space="preserve">. </w:t>
            </w:r>
            <w:r w:rsidR="00CB3FDD" w:rsidRPr="00644A5E">
              <w:rPr>
                <w:rFonts w:asciiTheme="majorHAnsi" w:hAnsiTheme="majorHAnsi" w:cstheme="majorHAnsi"/>
                <w:szCs w:val="22"/>
              </w:rPr>
              <w:t>März</w:t>
            </w:r>
            <w:r w:rsidR="00516C1E" w:rsidRPr="00644A5E">
              <w:rPr>
                <w:rFonts w:asciiTheme="majorHAnsi" w:hAnsiTheme="majorHAnsi" w:cstheme="majorHAnsi"/>
                <w:szCs w:val="22"/>
              </w:rPr>
              <w:t xml:space="preserve"> 2024</w:t>
            </w:r>
          </w:p>
        </w:tc>
      </w:tr>
      <w:tr w:rsidR="00DA6749" w:rsidRPr="00644A5E" w14:paraId="2DA74770" w14:textId="77777777" w:rsidTr="003F62CA">
        <w:trPr>
          <w:trHeight w:hRule="exact" w:val="289"/>
        </w:trPr>
        <w:tc>
          <w:tcPr>
            <w:tcW w:w="9354" w:type="dxa"/>
            <w:gridSpan w:val="2"/>
          </w:tcPr>
          <w:p w14:paraId="25B1B631" w14:textId="2D23402E" w:rsidR="0037387C" w:rsidRPr="00644A5E" w:rsidRDefault="0037387C" w:rsidP="006C6410">
            <w:pPr>
              <w:rPr>
                <w:rFonts w:asciiTheme="majorHAnsi" w:hAnsiTheme="majorHAnsi" w:cstheme="majorHAnsi"/>
                <w:szCs w:val="22"/>
              </w:rPr>
            </w:pPr>
          </w:p>
        </w:tc>
      </w:tr>
      <w:tr w:rsidR="00DA6749" w:rsidRPr="00644A5E" w14:paraId="283BDD9D" w14:textId="77777777" w:rsidTr="003F62CA">
        <w:trPr>
          <w:trHeight w:val="477"/>
        </w:trPr>
        <w:tc>
          <w:tcPr>
            <w:tcW w:w="9354" w:type="dxa"/>
            <w:gridSpan w:val="2"/>
          </w:tcPr>
          <w:p w14:paraId="056C566A" w14:textId="2715B778" w:rsidR="00DD796A" w:rsidRPr="00644A5E" w:rsidRDefault="00316F80" w:rsidP="006C6410">
            <w:pPr>
              <w:rPr>
                <w:rFonts w:asciiTheme="majorHAnsi" w:hAnsiTheme="majorHAnsi" w:cstheme="majorHAnsi"/>
                <w:szCs w:val="22"/>
              </w:rPr>
            </w:pPr>
            <w:r w:rsidRPr="00644A5E">
              <w:rPr>
                <w:rFonts w:asciiTheme="majorHAnsi" w:hAnsiTheme="majorHAnsi" w:cstheme="majorHAnsi"/>
                <w:b/>
                <w:bCs/>
                <w:szCs w:val="22"/>
              </w:rPr>
              <w:t xml:space="preserve">Vernehmlassungsantwort zur </w:t>
            </w:r>
            <w:r w:rsidR="00CB3FDD" w:rsidRPr="00644A5E">
              <w:rPr>
                <w:rFonts w:asciiTheme="majorHAnsi" w:hAnsiTheme="majorHAnsi" w:cstheme="majorHAnsi"/>
                <w:b/>
                <w:bCs/>
                <w:szCs w:val="22"/>
                <w:lang w:eastAsia="de-CH"/>
              </w:rPr>
              <w:t>Teilrevision BehiG</w:t>
            </w:r>
          </w:p>
        </w:tc>
      </w:tr>
      <w:tr w:rsidR="0037387C" w:rsidRPr="00644A5E" w14:paraId="07AB30B0" w14:textId="77777777" w:rsidTr="003F62CA">
        <w:trPr>
          <w:trHeight w:hRule="exact" w:val="275"/>
        </w:trPr>
        <w:tc>
          <w:tcPr>
            <w:tcW w:w="9354" w:type="dxa"/>
            <w:gridSpan w:val="2"/>
          </w:tcPr>
          <w:p w14:paraId="1BB19B9A" w14:textId="77777777" w:rsidR="0037387C" w:rsidRPr="00644A5E" w:rsidRDefault="0037387C" w:rsidP="006C6410">
            <w:pPr>
              <w:rPr>
                <w:rFonts w:asciiTheme="majorHAnsi" w:hAnsiTheme="majorHAnsi" w:cstheme="majorHAnsi"/>
                <w:szCs w:val="22"/>
              </w:rPr>
            </w:pPr>
          </w:p>
        </w:tc>
      </w:tr>
    </w:tbl>
    <w:p w14:paraId="5EA9413A" w14:textId="5786CD60" w:rsidR="00EE5658" w:rsidRPr="00644A5E" w:rsidRDefault="00EE5658" w:rsidP="006C6410">
      <w:pPr>
        <w:rPr>
          <w:rFonts w:asciiTheme="majorHAnsi" w:hAnsiTheme="majorHAnsi" w:cstheme="majorHAnsi"/>
          <w:szCs w:val="22"/>
        </w:rPr>
      </w:pPr>
    </w:p>
    <w:p w14:paraId="2CC67791" w14:textId="0778941E" w:rsidR="00DD796A" w:rsidRPr="00644A5E" w:rsidRDefault="00316F80" w:rsidP="006C6410">
      <w:pPr>
        <w:rPr>
          <w:rFonts w:asciiTheme="majorHAnsi" w:hAnsiTheme="majorHAnsi" w:cstheme="majorHAnsi"/>
          <w:szCs w:val="22"/>
        </w:rPr>
      </w:pPr>
      <w:r w:rsidRPr="00644A5E">
        <w:rPr>
          <w:rFonts w:asciiTheme="majorHAnsi" w:hAnsiTheme="majorHAnsi" w:cstheme="majorHAnsi"/>
          <w:szCs w:val="22"/>
        </w:rPr>
        <w:t>Sehr geehrte</w:t>
      </w:r>
      <w:r w:rsidR="00516C1E" w:rsidRPr="00644A5E">
        <w:rPr>
          <w:rFonts w:asciiTheme="majorHAnsi" w:hAnsiTheme="majorHAnsi" w:cstheme="majorHAnsi"/>
          <w:szCs w:val="22"/>
        </w:rPr>
        <w:t xml:space="preserve"> Frau Bundesrätin</w:t>
      </w:r>
      <w:r w:rsidR="00DD796A" w:rsidRPr="00644A5E">
        <w:rPr>
          <w:rFonts w:asciiTheme="majorHAnsi" w:hAnsiTheme="majorHAnsi" w:cstheme="majorHAnsi"/>
          <w:szCs w:val="22"/>
        </w:rPr>
        <w:t>,</w:t>
      </w:r>
    </w:p>
    <w:p w14:paraId="47B6299A" w14:textId="43A4F66A" w:rsidR="00316F80" w:rsidRPr="00644A5E" w:rsidRDefault="00316F80" w:rsidP="006C6410">
      <w:pPr>
        <w:rPr>
          <w:rFonts w:asciiTheme="majorHAnsi" w:hAnsiTheme="majorHAnsi" w:cstheme="majorHAnsi"/>
          <w:szCs w:val="22"/>
        </w:rPr>
      </w:pPr>
      <w:r w:rsidRPr="00644A5E">
        <w:rPr>
          <w:rFonts w:asciiTheme="majorHAnsi" w:hAnsiTheme="majorHAnsi" w:cstheme="majorHAnsi"/>
          <w:szCs w:val="22"/>
        </w:rPr>
        <w:t>Sehr geehrte Damen und Herren,</w:t>
      </w:r>
    </w:p>
    <w:p w14:paraId="54E5D210" w14:textId="69B5A4F3" w:rsidR="00DD796A" w:rsidRPr="00644A5E" w:rsidRDefault="00DD796A" w:rsidP="006C6410">
      <w:pPr>
        <w:rPr>
          <w:rFonts w:asciiTheme="majorHAnsi" w:hAnsiTheme="majorHAnsi" w:cstheme="majorHAnsi"/>
          <w:szCs w:val="22"/>
        </w:rPr>
      </w:pPr>
    </w:p>
    <w:p w14:paraId="0FB8883B" w14:textId="1421B817" w:rsidR="00DD796A" w:rsidRPr="00644A5E" w:rsidRDefault="0004572B" w:rsidP="006C6410">
      <w:pPr>
        <w:rPr>
          <w:rFonts w:asciiTheme="majorHAnsi" w:hAnsiTheme="majorHAnsi" w:cstheme="majorHAnsi"/>
          <w:szCs w:val="22"/>
        </w:rPr>
      </w:pPr>
      <w:r w:rsidRPr="00644A5E">
        <w:rPr>
          <w:rFonts w:asciiTheme="majorHAnsi" w:hAnsiTheme="majorHAnsi" w:cstheme="majorHAnsi"/>
          <w:szCs w:val="22"/>
        </w:rPr>
        <w:t xml:space="preserve">Wir bedanken uns für die Einladung zum Vernehmlassungsverfahren bezüglich </w:t>
      </w:r>
      <w:r w:rsidR="00DA6749" w:rsidRPr="00644A5E">
        <w:rPr>
          <w:rFonts w:asciiTheme="majorHAnsi" w:hAnsiTheme="majorHAnsi" w:cstheme="majorHAnsi"/>
          <w:szCs w:val="22"/>
        </w:rPr>
        <w:t xml:space="preserve">der </w:t>
      </w:r>
      <w:r w:rsidR="00CB3FDD" w:rsidRPr="00644A5E">
        <w:rPr>
          <w:rFonts w:asciiTheme="majorHAnsi" w:hAnsiTheme="majorHAnsi" w:cstheme="majorHAnsi"/>
          <w:szCs w:val="22"/>
        </w:rPr>
        <w:t>Teilrevision</w:t>
      </w:r>
      <w:r w:rsidR="00DA6749" w:rsidRPr="00644A5E">
        <w:rPr>
          <w:rFonts w:asciiTheme="majorHAnsi" w:hAnsiTheme="majorHAnsi" w:cstheme="majorHAnsi"/>
          <w:szCs w:val="22"/>
        </w:rPr>
        <w:t xml:space="preserve"> </w:t>
      </w:r>
      <w:r w:rsidR="00516C1E" w:rsidRPr="00644A5E">
        <w:rPr>
          <w:rFonts w:asciiTheme="majorHAnsi" w:hAnsiTheme="majorHAnsi" w:cstheme="majorHAnsi"/>
          <w:szCs w:val="22"/>
        </w:rPr>
        <w:t xml:space="preserve">des </w:t>
      </w:r>
      <w:r w:rsidR="00CB3FDD" w:rsidRPr="00644A5E">
        <w:rPr>
          <w:rFonts w:asciiTheme="majorHAnsi" w:hAnsiTheme="majorHAnsi" w:cstheme="majorHAnsi"/>
          <w:szCs w:val="22"/>
        </w:rPr>
        <w:t>Behindertengleichstellungsgesetzes</w:t>
      </w:r>
      <w:r w:rsidR="00516C1E" w:rsidRPr="00644A5E">
        <w:rPr>
          <w:rFonts w:asciiTheme="majorHAnsi" w:hAnsiTheme="majorHAnsi" w:cstheme="majorHAnsi"/>
          <w:szCs w:val="22"/>
        </w:rPr>
        <w:t xml:space="preserve"> (</w:t>
      </w:r>
      <w:r w:rsidR="00CB3FDD" w:rsidRPr="00644A5E">
        <w:rPr>
          <w:rFonts w:asciiTheme="majorHAnsi" w:hAnsiTheme="majorHAnsi" w:cstheme="majorHAnsi"/>
          <w:szCs w:val="22"/>
        </w:rPr>
        <w:t>BehiG</w:t>
      </w:r>
      <w:r w:rsidR="00516C1E" w:rsidRPr="00644A5E">
        <w:rPr>
          <w:rFonts w:asciiTheme="majorHAnsi" w:hAnsiTheme="majorHAnsi" w:cstheme="majorHAnsi"/>
          <w:szCs w:val="22"/>
        </w:rPr>
        <w:t>)</w:t>
      </w:r>
      <w:r w:rsidR="002F57B9" w:rsidRPr="00644A5E">
        <w:rPr>
          <w:rFonts w:asciiTheme="majorHAnsi" w:hAnsiTheme="majorHAnsi" w:cstheme="majorHAnsi"/>
          <w:szCs w:val="22"/>
        </w:rPr>
        <w:t>.</w:t>
      </w:r>
    </w:p>
    <w:p w14:paraId="511331FD" w14:textId="2A943B34" w:rsidR="002F57B9" w:rsidRPr="00644A5E" w:rsidRDefault="002F57B9" w:rsidP="006C6410">
      <w:pPr>
        <w:rPr>
          <w:rFonts w:asciiTheme="majorHAnsi" w:hAnsiTheme="majorHAnsi" w:cstheme="majorHAnsi"/>
          <w:szCs w:val="22"/>
        </w:rPr>
      </w:pPr>
    </w:p>
    <w:p w14:paraId="382D7519" w14:textId="0A221990" w:rsidR="000E49A5" w:rsidRPr="00644A5E" w:rsidRDefault="00CB3FDD" w:rsidP="006C6410">
      <w:pPr>
        <w:rPr>
          <w:rFonts w:asciiTheme="majorHAnsi" w:hAnsiTheme="majorHAnsi" w:cstheme="majorHAnsi"/>
          <w:szCs w:val="22"/>
        </w:rPr>
      </w:pPr>
      <w:r w:rsidRPr="00644A5E">
        <w:rPr>
          <w:rFonts w:asciiTheme="majorHAnsi" w:hAnsiTheme="majorHAnsi" w:cstheme="majorHAnsi"/>
          <w:szCs w:val="22"/>
        </w:rPr>
        <w:t>Eine Anpassung des BehiG ist zwingend notwendig. Dies hat nicht zuletzt das schlechte Ergebnis der Überprüfung der Schweiz bezüglich Umsetzung der UN-BRK klar aufgezeigt. Mit dem BehiG stellt die Politik die Weichen, um die Gleichstellung von Menschen mit Behinderungen in der Schweiz zu erreichen. Mit der vorliegenden Teilrevision wird die Neustellung dieser Weichen i</w:t>
      </w:r>
      <w:r w:rsidR="0030354A">
        <w:rPr>
          <w:rFonts w:asciiTheme="majorHAnsi" w:hAnsiTheme="majorHAnsi" w:cstheme="majorHAnsi"/>
          <w:szCs w:val="22"/>
        </w:rPr>
        <w:t>n dem</w:t>
      </w:r>
      <w:r w:rsidRPr="00644A5E">
        <w:rPr>
          <w:rFonts w:asciiTheme="majorHAnsi" w:hAnsiTheme="majorHAnsi" w:cstheme="majorHAnsi"/>
          <w:szCs w:val="22"/>
        </w:rPr>
        <w:t xml:space="preserve"> Ausmass, wie es nötig wäre, jedoch klar verfehlt.</w:t>
      </w:r>
    </w:p>
    <w:p w14:paraId="4906EBFA" w14:textId="77777777" w:rsidR="00CB3FDD" w:rsidRPr="00644A5E" w:rsidRDefault="00CB3FDD" w:rsidP="006C6410">
      <w:pPr>
        <w:rPr>
          <w:rFonts w:asciiTheme="majorHAnsi" w:hAnsiTheme="majorHAnsi" w:cstheme="majorHAnsi"/>
          <w:szCs w:val="22"/>
        </w:rPr>
      </w:pPr>
    </w:p>
    <w:p w14:paraId="3AEFFB6E" w14:textId="514679F2" w:rsidR="00CB3FDD" w:rsidRPr="00644A5E" w:rsidRDefault="0030354A" w:rsidP="006C6410">
      <w:pPr>
        <w:rPr>
          <w:rFonts w:asciiTheme="majorHAnsi" w:hAnsiTheme="majorHAnsi" w:cstheme="majorHAnsi"/>
          <w:szCs w:val="22"/>
        </w:rPr>
      </w:pPr>
      <w:r>
        <w:rPr>
          <w:rFonts w:asciiTheme="majorHAnsi" w:hAnsiTheme="majorHAnsi" w:cstheme="majorHAnsi"/>
          <w:szCs w:val="22"/>
        </w:rPr>
        <w:t xml:space="preserve">Nachstehend </w:t>
      </w:r>
      <w:r w:rsidR="00CB3FDD" w:rsidRPr="00644A5E">
        <w:rPr>
          <w:rFonts w:asciiTheme="majorHAnsi" w:hAnsiTheme="majorHAnsi" w:cstheme="majorHAnsi"/>
          <w:szCs w:val="22"/>
        </w:rPr>
        <w:t xml:space="preserve">finden Sie die detaillierten Punkte </w:t>
      </w:r>
      <w:r>
        <w:rPr>
          <w:rFonts w:asciiTheme="majorHAnsi" w:hAnsiTheme="majorHAnsi" w:cstheme="majorHAnsi"/>
          <w:szCs w:val="22"/>
        </w:rPr>
        <w:t xml:space="preserve">und materiellen Anpassungen </w:t>
      </w:r>
      <w:r w:rsidR="00CB3FDD" w:rsidRPr="00644A5E">
        <w:rPr>
          <w:rFonts w:asciiTheme="majorHAnsi" w:hAnsiTheme="majorHAnsi" w:cstheme="majorHAnsi"/>
          <w:szCs w:val="22"/>
        </w:rPr>
        <w:t xml:space="preserve">in Übereinstimmung mit unserem Dachverband </w:t>
      </w:r>
      <w:r w:rsidR="00E93B6D" w:rsidRPr="00644A5E">
        <w:rPr>
          <w:rFonts w:asciiTheme="majorHAnsi" w:hAnsiTheme="majorHAnsi" w:cstheme="majorHAnsi"/>
          <w:szCs w:val="22"/>
        </w:rPr>
        <w:t>Inclusion Handicap</w:t>
      </w:r>
      <w:r w:rsidR="00CB3FDD" w:rsidRPr="00644A5E">
        <w:rPr>
          <w:rFonts w:asciiTheme="majorHAnsi" w:hAnsiTheme="majorHAnsi" w:cstheme="majorHAnsi"/>
          <w:szCs w:val="22"/>
        </w:rPr>
        <w:t xml:space="preserve">. Als grösste Behindertenorganisation der Schweiz möchten wir </w:t>
      </w:r>
      <w:r w:rsidR="006C76A7">
        <w:rPr>
          <w:rFonts w:asciiTheme="majorHAnsi" w:hAnsiTheme="majorHAnsi" w:cstheme="majorHAnsi"/>
          <w:szCs w:val="22"/>
        </w:rPr>
        <w:t>vorab</w:t>
      </w:r>
      <w:r w:rsidR="00CB3FDD" w:rsidRPr="00644A5E">
        <w:rPr>
          <w:rFonts w:asciiTheme="majorHAnsi" w:hAnsiTheme="majorHAnsi" w:cstheme="majorHAnsi"/>
          <w:szCs w:val="22"/>
        </w:rPr>
        <w:t xml:space="preserve"> folgende Kritikpunkte hervorheben</w:t>
      </w:r>
      <w:r w:rsidR="006C76A7">
        <w:rPr>
          <w:rFonts w:asciiTheme="majorHAnsi" w:hAnsiTheme="majorHAnsi" w:cstheme="majorHAnsi"/>
          <w:szCs w:val="22"/>
        </w:rPr>
        <w:t>, die nicht abschliessend, aber für uns besonders wichtig sind</w:t>
      </w:r>
      <w:r w:rsidR="00CB3FDD" w:rsidRPr="00644A5E">
        <w:rPr>
          <w:rFonts w:asciiTheme="majorHAnsi" w:hAnsiTheme="majorHAnsi" w:cstheme="majorHAnsi"/>
          <w:szCs w:val="22"/>
        </w:rPr>
        <w:t>:</w:t>
      </w:r>
    </w:p>
    <w:p w14:paraId="3F3EA016" w14:textId="77777777" w:rsidR="00CB3FDD" w:rsidRPr="00644A5E" w:rsidRDefault="00CB3FDD" w:rsidP="006C6410">
      <w:pPr>
        <w:rPr>
          <w:rFonts w:asciiTheme="majorHAnsi" w:hAnsiTheme="majorHAnsi" w:cstheme="majorHAnsi"/>
          <w:szCs w:val="22"/>
        </w:rPr>
      </w:pPr>
    </w:p>
    <w:p w14:paraId="13586B6F" w14:textId="6EA4F2F4" w:rsidR="00CB3FDD" w:rsidRPr="00644A5E" w:rsidRDefault="00CB3FDD" w:rsidP="00CB3FDD">
      <w:pPr>
        <w:pStyle w:val="Listenabsatz"/>
        <w:numPr>
          <w:ilvl w:val="0"/>
          <w:numId w:val="44"/>
        </w:numPr>
        <w:rPr>
          <w:rFonts w:asciiTheme="majorHAnsi" w:hAnsiTheme="majorHAnsi" w:cstheme="majorHAnsi"/>
          <w:szCs w:val="22"/>
        </w:rPr>
      </w:pPr>
      <w:r w:rsidRPr="00644A5E">
        <w:rPr>
          <w:rFonts w:asciiTheme="majorHAnsi" w:hAnsiTheme="majorHAnsi" w:cstheme="majorHAnsi"/>
          <w:szCs w:val="22"/>
        </w:rPr>
        <w:t xml:space="preserve">Die </w:t>
      </w:r>
      <w:r w:rsidRPr="00644A5E">
        <w:rPr>
          <w:rFonts w:asciiTheme="majorHAnsi" w:hAnsiTheme="majorHAnsi" w:cstheme="majorHAnsi"/>
          <w:b/>
          <w:bCs/>
          <w:szCs w:val="22"/>
        </w:rPr>
        <w:t xml:space="preserve">Verantwortung </w:t>
      </w:r>
      <w:r w:rsidR="00C37E02" w:rsidRPr="00644A5E">
        <w:rPr>
          <w:rFonts w:asciiTheme="majorHAnsi" w:hAnsiTheme="majorHAnsi" w:cstheme="majorHAnsi"/>
          <w:b/>
          <w:bCs/>
          <w:szCs w:val="22"/>
        </w:rPr>
        <w:t>für die Inklusion</w:t>
      </w:r>
      <w:r w:rsidR="00C37E02" w:rsidRPr="00644A5E">
        <w:rPr>
          <w:rFonts w:asciiTheme="majorHAnsi" w:hAnsiTheme="majorHAnsi" w:cstheme="majorHAnsi"/>
          <w:szCs w:val="22"/>
        </w:rPr>
        <w:t xml:space="preserve"> </w:t>
      </w:r>
      <w:r w:rsidR="00CE0FCC" w:rsidRPr="00644A5E">
        <w:rPr>
          <w:rFonts w:asciiTheme="majorHAnsi" w:hAnsiTheme="majorHAnsi" w:cstheme="majorHAnsi"/>
          <w:szCs w:val="22"/>
        </w:rPr>
        <w:t>wird den</w:t>
      </w:r>
      <w:r w:rsidRPr="00644A5E">
        <w:rPr>
          <w:rFonts w:asciiTheme="majorHAnsi" w:hAnsiTheme="majorHAnsi" w:cstheme="majorHAnsi"/>
          <w:szCs w:val="22"/>
        </w:rPr>
        <w:t xml:space="preserve"> Betroffenen zu</w:t>
      </w:r>
      <w:r w:rsidR="00CE0FCC" w:rsidRPr="00644A5E">
        <w:rPr>
          <w:rFonts w:asciiTheme="majorHAnsi" w:hAnsiTheme="majorHAnsi" w:cstheme="majorHAnsi"/>
          <w:szCs w:val="22"/>
        </w:rPr>
        <w:t>geschoben</w:t>
      </w:r>
      <w:r w:rsidR="0016247C" w:rsidRPr="00644A5E">
        <w:rPr>
          <w:rFonts w:asciiTheme="majorHAnsi" w:hAnsiTheme="majorHAnsi" w:cstheme="majorHAnsi"/>
          <w:szCs w:val="22"/>
        </w:rPr>
        <w:t>,</w:t>
      </w:r>
      <w:r w:rsidR="00CE0FCC" w:rsidRPr="00644A5E">
        <w:rPr>
          <w:rFonts w:asciiTheme="majorHAnsi" w:hAnsiTheme="majorHAnsi" w:cstheme="majorHAnsi"/>
          <w:szCs w:val="22"/>
        </w:rPr>
        <w:t xml:space="preserve"> indem diese auf den Klageweg verwiesen werden. Dieser wird durch unkonkrete </w:t>
      </w:r>
      <w:r w:rsidR="0016247C" w:rsidRPr="00644A5E">
        <w:rPr>
          <w:rFonts w:asciiTheme="majorHAnsi" w:hAnsiTheme="majorHAnsi" w:cstheme="majorHAnsi"/>
          <w:szCs w:val="22"/>
        </w:rPr>
        <w:t>Diskriminierungs</w:t>
      </w:r>
      <w:r w:rsidR="005D3AB3" w:rsidRPr="00644A5E">
        <w:rPr>
          <w:rFonts w:asciiTheme="majorHAnsi" w:hAnsiTheme="majorHAnsi" w:cstheme="majorHAnsi"/>
          <w:szCs w:val="22"/>
        </w:rPr>
        <w:t>b</w:t>
      </w:r>
      <w:r w:rsidR="00CE0FCC" w:rsidRPr="00644A5E">
        <w:rPr>
          <w:rFonts w:asciiTheme="majorHAnsi" w:hAnsiTheme="majorHAnsi" w:cstheme="majorHAnsi"/>
          <w:szCs w:val="22"/>
        </w:rPr>
        <w:t>egriffe und de</w:t>
      </w:r>
      <w:r w:rsidR="00C37E02" w:rsidRPr="00644A5E">
        <w:rPr>
          <w:rFonts w:asciiTheme="majorHAnsi" w:hAnsiTheme="majorHAnsi" w:cstheme="majorHAnsi"/>
          <w:szCs w:val="22"/>
        </w:rPr>
        <w:t>m Grundsatz der</w:t>
      </w:r>
      <w:r w:rsidR="00CE0FCC" w:rsidRPr="00644A5E">
        <w:rPr>
          <w:rFonts w:asciiTheme="majorHAnsi" w:hAnsiTheme="majorHAnsi" w:cstheme="majorHAnsi"/>
          <w:szCs w:val="22"/>
        </w:rPr>
        <w:t xml:space="preserve"> </w:t>
      </w:r>
      <w:r w:rsidR="00C37E02" w:rsidRPr="00644A5E">
        <w:rPr>
          <w:rFonts w:asciiTheme="majorHAnsi" w:hAnsiTheme="majorHAnsi" w:cstheme="majorHAnsi"/>
          <w:szCs w:val="22"/>
        </w:rPr>
        <w:t>Verhältnismässigkeit</w:t>
      </w:r>
      <w:r w:rsidR="00CE0FCC" w:rsidRPr="00644A5E">
        <w:rPr>
          <w:rFonts w:asciiTheme="majorHAnsi" w:hAnsiTheme="majorHAnsi" w:cstheme="majorHAnsi"/>
          <w:szCs w:val="22"/>
        </w:rPr>
        <w:t xml:space="preserve"> </w:t>
      </w:r>
      <w:r w:rsidR="00C37E02" w:rsidRPr="00644A5E">
        <w:rPr>
          <w:rFonts w:asciiTheme="majorHAnsi" w:hAnsiTheme="majorHAnsi" w:cstheme="majorHAnsi"/>
          <w:szCs w:val="22"/>
        </w:rPr>
        <w:t xml:space="preserve">jedoch </w:t>
      </w:r>
      <w:r w:rsidR="0016247C" w:rsidRPr="00644A5E">
        <w:rPr>
          <w:rFonts w:asciiTheme="majorHAnsi" w:hAnsiTheme="majorHAnsi" w:cstheme="majorHAnsi"/>
          <w:szCs w:val="22"/>
        </w:rPr>
        <w:t>zusätzlich</w:t>
      </w:r>
      <w:r w:rsidR="00CE0FCC" w:rsidRPr="00644A5E">
        <w:rPr>
          <w:rFonts w:asciiTheme="majorHAnsi" w:hAnsiTheme="majorHAnsi" w:cstheme="majorHAnsi"/>
          <w:szCs w:val="22"/>
        </w:rPr>
        <w:t xml:space="preserve"> erschwert. </w:t>
      </w:r>
      <w:r w:rsidR="00C37E02" w:rsidRPr="00644A5E">
        <w:rPr>
          <w:rFonts w:asciiTheme="majorHAnsi" w:hAnsiTheme="majorHAnsi" w:cstheme="majorHAnsi"/>
          <w:szCs w:val="22"/>
        </w:rPr>
        <w:t xml:space="preserve">Damit übernimmt der Bundesrat nicht seine Verantwortung, die Richtlinien für eine inklusive Gesellschaft zu stellen. </w:t>
      </w:r>
      <w:r w:rsidR="00B505BB" w:rsidRPr="00644A5E">
        <w:rPr>
          <w:rFonts w:asciiTheme="majorHAnsi" w:hAnsiTheme="majorHAnsi" w:cstheme="majorHAnsi"/>
          <w:szCs w:val="22"/>
        </w:rPr>
        <w:t>Dabei</w:t>
      </w:r>
      <w:r w:rsidR="00C37E02" w:rsidRPr="00644A5E">
        <w:rPr>
          <w:rFonts w:asciiTheme="majorHAnsi" w:hAnsiTheme="majorHAnsi" w:cstheme="majorHAnsi"/>
          <w:szCs w:val="22"/>
        </w:rPr>
        <w:t xml:space="preserve"> </w:t>
      </w:r>
      <w:r w:rsidR="00B505BB" w:rsidRPr="00644A5E">
        <w:rPr>
          <w:rFonts w:asciiTheme="majorHAnsi" w:hAnsiTheme="majorHAnsi" w:cstheme="majorHAnsi"/>
          <w:szCs w:val="22"/>
        </w:rPr>
        <w:t>bestehen</w:t>
      </w:r>
      <w:r w:rsidR="00C37E02" w:rsidRPr="00644A5E">
        <w:rPr>
          <w:rFonts w:asciiTheme="majorHAnsi" w:hAnsiTheme="majorHAnsi" w:cstheme="majorHAnsi"/>
          <w:szCs w:val="22"/>
        </w:rPr>
        <w:t xml:space="preserve"> Parameter und Richtwerte</w:t>
      </w:r>
      <w:r w:rsidR="00B505BB" w:rsidRPr="00644A5E">
        <w:rPr>
          <w:rFonts w:asciiTheme="majorHAnsi" w:hAnsiTheme="majorHAnsi" w:cstheme="majorHAnsi"/>
          <w:szCs w:val="22"/>
        </w:rPr>
        <w:t xml:space="preserve"> für verschiedene Bereiche</w:t>
      </w:r>
      <w:r w:rsidR="00C37E02" w:rsidRPr="00644A5E">
        <w:rPr>
          <w:rFonts w:asciiTheme="majorHAnsi" w:hAnsiTheme="majorHAnsi" w:cstheme="majorHAnsi"/>
          <w:szCs w:val="22"/>
        </w:rPr>
        <w:t xml:space="preserve">, die </w:t>
      </w:r>
      <w:r w:rsidR="00B505BB" w:rsidRPr="00644A5E">
        <w:rPr>
          <w:rFonts w:asciiTheme="majorHAnsi" w:hAnsiTheme="majorHAnsi" w:cstheme="majorHAnsi"/>
          <w:szCs w:val="22"/>
        </w:rPr>
        <w:t xml:space="preserve">erwiesenermassen </w:t>
      </w:r>
      <w:r w:rsidR="00C37E02" w:rsidRPr="00644A5E">
        <w:rPr>
          <w:rFonts w:asciiTheme="majorHAnsi" w:hAnsiTheme="majorHAnsi" w:cstheme="majorHAnsi"/>
          <w:szCs w:val="22"/>
        </w:rPr>
        <w:t xml:space="preserve">Barrieren abbauen und Inklusion ermöglichen. </w:t>
      </w:r>
      <w:r w:rsidR="00B505BB" w:rsidRPr="00644A5E">
        <w:rPr>
          <w:rFonts w:asciiTheme="majorHAnsi" w:hAnsiTheme="majorHAnsi" w:cstheme="majorHAnsi"/>
          <w:szCs w:val="22"/>
        </w:rPr>
        <w:t xml:space="preserve">Ein Verzicht darauf </w:t>
      </w:r>
      <w:r w:rsidR="00644A5E">
        <w:rPr>
          <w:rFonts w:asciiTheme="majorHAnsi" w:hAnsiTheme="majorHAnsi" w:cstheme="majorHAnsi"/>
          <w:szCs w:val="22"/>
        </w:rPr>
        <w:t>in den Bereichen Arbeit und Dienstleistungen wirkungsvolle</w:t>
      </w:r>
      <w:r w:rsidR="00B505BB" w:rsidRPr="00644A5E">
        <w:rPr>
          <w:rFonts w:asciiTheme="majorHAnsi" w:hAnsiTheme="majorHAnsi" w:cstheme="majorHAnsi"/>
          <w:szCs w:val="22"/>
        </w:rPr>
        <w:t xml:space="preserve"> Leitplanken gesetzlich zu verankern bedeutet, dass sich Menschen mit Behinderungen ihren Platz </w:t>
      </w:r>
      <w:r w:rsidR="00644A5E">
        <w:rPr>
          <w:rFonts w:asciiTheme="majorHAnsi" w:hAnsiTheme="majorHAnsi" w:cstheme="majorHAnsi"/>
          <w:szCs w:val="22"/>
        </w:rPr>
        <w:t>dort</w:t>
      </w:r>
      <w:r w:rsidR="00B505BB" w:rsidRPr="00644A5E">
        <w:rPr>
          <w:rFonts w:asciiTheme="majorHAnsi" w:hAnsiTheme="majorHAnsi" w:cstheme="majorHAnsi"/>
          <w:szCs w:val="22"/>
        </w:rPr>
        <w:t xml:space="preserve"> erkämpfen müssen.</w:t>
      </w:r>
      <w:r w:rsidR="00C37E02" w:rsidRPr="00644A5E">
        <w:rPr>
          <w:rFonts w:asciiTheme="majorHAnsi" w:hAnsiTheme="majorHAnsi" w:cstheme="majorHAnsi"/>
          <w:szCs w:val="22"/>
        </w:rPr>
        <w:t xml:space="preserve"> Ein wesentlicher Fortschritt für die Inklusion ist aus Sicht von Pro Infirmis auf diesem Weg nicht zu erwarten.</w:t>
      </w:r>
    </w:p>
    <w:p w14:paraId="1094538B" w14:textId="16D29DCC" w:rsidR="00B505BB" w:rsidRPr="00644A5E" w:rsidRDefault="00644A5E" w:rsidP="00CB3FDD">
      <w:pPr>
        <w:pStyle w:val="Listenabsatz"/>
        <w:numPr>
          <w:ilvl w:val="0"/>
          <w:numId w:val="44"/>
        </w:numPr>
        <w:rPr>
          <w:rFonts w:asciiTheme="majorHAnsi" w:hAnsiTheme="majorHAnsi" w:cstheme="majorHAnsi"/>
          <w:szCs w:val="22"/>
        </w:rPr>
      </w:pPr>
      <w:r w:rsidRPr="00644A5E">
        <w:rPr>
          <w:rFonts w:asciiTheme="majorHAnsi" w:hAnsiTheme="majorHAnsi" w:cstheme="majorHAnsi"/>
          <w:szCs w:val="22"/>
        </w:rPr>
        <w:t>In den Bereichen, in welchen bereits solche Parameter bestehen, wurde es verpasst, diese aufgrund der gemachten Erfahrungen anzupassen: Dies zeigt sich speziell i</w:t>
      </w:r>
      <w:r w:rsidR="00B505BB" w:rsidRPr="00644A5E">
        <w:rPr>
          <w:rFonts w:asciiTheme="majorHAnsi" w:hAnsiTheme="majorHAnsi" w:cstheme="majorHAnsi"/>
          <w:szCs w:val="22"/>
        </w:rPr>
        <w:t xml:space="preserve">m </w:t>
      </w:r>
      <w:r w:rsidR="00B505BB" w:rsidRPr="00644A5E">
        <w:rPr>
          <w:rFonts w:asciiTheme="majorHAnsi" w:hAnsiTheme="majorHAnsi" w:cstheme="majorHAnsi"/>
          <w:b/>
          <w:bCs/>
          <w:szCs w:val="22"/>
        </w:rPr>
        <w:t>Baubereich</w:t>
      </w:r>
      <w:r w:rsidRPr="00644A5E">
        <w:rPr>
          <w:rFonts w:asciiTheme="majorHAnsi" w:hAnsiTheme="majorHAnsi" w:cstheme="majorHAnsi"/>
          <w:szCs w:val="22"/>
        </w:rPr>
        <w:t xml:space="preserve">, wo eine klar angezeigte Verschärfung der Regelungen nötig wäre, um eine Wirkung der Vorschriften zu Gunsten der Inklusion hervorzubringen. </w:t>
      </w:r>
    </w:p>
    <w:p w14:paraId="75005D8C" w14:textId="6772462D" w:rsidR="00B505BB" w:rsidRPr="00644A5E" w:rsidRDefault="00644A5E" w:rsidP="00B505BB">
      <w:pPr>
        <w:pStyle w:val="Listenabsatz"/>
        <w:numPr>
          <w:ilvl w:val="0"/>
          <w:numId w:val="44"/>
        </w:numPr>
        <w:rPr>
          <w:rFonts w:asciiTheme="majorHAnsi" w:hAnsiTheme="majorHAnsi" w:cstheme="majorHAnsi"/>
          <w:szCs w:val="22"/>
        </w:rPr>
      </w:pPr>
      <w:r>
        <w:rPr>
          <w:rFonts w:asciiTheme="majorHAnsi" w:hAnsiTheme="majorHAnsi" w:cstheme="majorHAnsi"/>
          <w:szCs w:val="22"/>
        </w:rPr>
        <w:lastRenderedPageBreak/>
        <w:t>Dies zeigt sich ebenfalls in Bezug auf die</w:t>
      </w:r>
      <w:r w:rsidR="00CE0FCC" w:rsidRPr="00644A5E">
        <w:rPr>
          <w:rFonts w:asciiTheme="majorHAnsi" w:hAnsiTheme="majorHAnsi" w:cstheme="majorHAnsi"/>
          <w:szCs w:val="22"/>
        </w:rPr>
        <w:t xml:space="preserve"> </w:t>
      </w:r>
      <w:r w:rsidR="0016247C" w:rsidRPr="00644A5E">
        <w:rPr>
          <w:rFonts w:asciiTheme="majorHAnsi" w:hAnsiTheme="majorHAnsi" w:cstheme="majorHAnsi"/>
          <w:b/>
          <w:bCs/>
          <w:szCs w:val="22"/>
        </w:rPr>
        <w:t>a</w:t>
      </w:r>
      <w:r w:rsidR="00CE0FCC" w:rsidRPr="00644A5E">
        <w:rPr>
          <w:rFonts w:asciiTheme="majorHAnsi" w:hAnsiTheme="majorHAnsi" w:cstheme="majorHAnsi"/>
          <w:b/>
          <w:bCs/>
          <w:szCs w:val="22"/>
        </w:rPr>
        <w:t>utonome</w:t>
      </w:r>
      <w:r w:rsidR="00C70327" w:rsidRPr="00644A5E">
        <w:rPr>
          <w:rFonts w:asciiTheme="majorHAnsi" w:hAnsiTheme="majorHAnsi" w:cstheme="majorHAnsi"/>
          <w:b/>
          <w:bCs/>
          <w:szCs w:val="22"/>
        </w:rPr>
        <w:t>, spontane</w:t>
      </w:r>
      <w:r w:rsidR="00CE0FCC" w:rsidRPr="00644A5E">
        <w:rPr>
          <w:rFonts w:asciiTheme="majorHAnsi" w:hAnsiTheme="majorHAnsi" w:cstheme="majorHAnsi"/>
          <w:b/>
          <w:bCs/>
          <w:szCs w:val="22"/>
        </w:rPr>
        <w:t xml:space="preserve"> </w:t>
      </w:r>
      <w:r w:rsidR="0016247C" w:rsidRPr="00644A5E">
        <w:rPr>
          <w:rFonts w:asciiTheme="majorHAnsi" w:hAnsiTheme="majorHAnsi" w:cstheme="majorHAnsi"/>
          <w:b/>
          <w:bCs/>
          <w:szCs w:val="22"/>
        </w:rPr>
        <w:t xml:space="preserve">und flächendeckende </w:t>
      </w:r>
      <w:r w:rsidR="00CE0FCC" w:rsidRPr="00644A5E">
        <w:rPr>
          <w:rFonts w:asciiTheme="majorHAnsi" w:hAnsiTheme="majorHAnsi" w:cstheme="majorHAnsi"/>
          <w:b/>
          <w:bCs/>
          <w:szCs w:val="22"/>
        </w:rPr>
        <w:t xml:space="preserve">Nutzung des </w:t>
      </w:r>
      <w:r w:rsidR="00A96BDE" w:rsidRPr="00644A5E">
        <w:rPr>
          <w:rFonts w:asciiTheme="majorHAnsi" w:hAnsiTheme="majorHAnsi" w:cstheme="majorHAnsi"/>
          <w:b/>
          <w:bCs/>
          <w:szCs w:val="22"/>
        </w:rPr>
        <w:t>Ö</w:t>
      </w:r>
      <w:r w:rsidR="00CE0FCC" w:rsidRPr="00644A5E">
        <w:rPr>
          <w:rFonts w:asciiTheme="majorHAnsi" w:hAnsiTheme="majorHAnsi" w:cstheme="majorHAnsi"/>
          <w:b/>
          <w:bCs/>
          <w:szCs w:val="22"/>
        </w:rPr>
        <w:t>V</w:t>
      </w:r>
      <w:r w:rsidR="0016247C" w:rsidRPr="00644A5E">
        <w:rPr>
          <w:rFonts w:asciiTheme="majorHAnsi" w:hAnsiTheme="majorHAnsi" w:cstheme="majorHAnsi"/>
          <w:szCs w:val="22"/>
        </w:rPr>
        <w:t xml:space="preserve"> durch Menschen mit Behinderung</w:t>
      </w:r>
      <w:r w:rsidR="005D3AB3" w:rsidRPr="00644A5E">
        <w:rPr>
          <w:rFonts w:asciiTheme="majorHAnsi" w:hAnsiTheme="majorHAnsi" w:cstheme="majorHAnsi"/>
          <w:szCs w:val="22"/>
        </w:rPr>
        <w:t>.</w:t>
      </w:r>
      <w:r w:rsidR="0016247C" w:rsidRPr="00644A5E">
        <w:rPr>
          <w:rFonts w:asciiTheme="majorHAnsi" w:hAnsiTheme="majorHAnsi" w:cstheme="majorHAnsi"/>
          <w:szCs w:val="22"/>
        </w:rPr>
        <w:t xml:space="preserve"> </w:t>
      </w:r>
      <w:r>
        <w:rPr>
          <w:rFonts w:asciiTheme="majorHAnsi" w:hAnsiTheme="majorHAnsi" w:cstheme="majorHAnsi"/>
          <w:szCs w:val="22"/>
        </w:rPr>
        <w:t xml:space="preserve">Nach Ablauf der bisherigen </w:t>
      </w:r>
      <w:r w:rsidR="00FD71E1">
        <w:rPr>
          <w:rFonts w:asciiTheme="majorHAnsi" w:hAnsiTheme="majorHAnsi" w:cstheme="majorHAnsi"/>
          <w:szCs w:val="22"/>
        </w:rPr>
        <w:t>klaren,</w:t>
      </w:r>
      <w:r>
        <w:rPr>
          <w:rFonts w:asciiTheme="majorHAnsi" w:hAnsiTheme="majorHAnsi" w:cstheme="majorHAnsi"/>
          <w:szCs w:val="22"/>
        </w:rPr>
        <w:t xml:space="preserve"> aber verfehlten Frist fehlen nun v</w:t>
      </w:r>
      <w:r w:rsidR="0016247C" w:rsidRPr="00644A5E">
        <w:rPr>
          <w:rFonts w:asciiTheme="majorHAnsi" w:hAnsiTheme="majorHAnsi" w:cstheme="majorHAnsi"/>
          <w:szCs w:val="22"/>
        </w:rPr>
        <w:t>erbindliche Vorgaben mit Fristen für alle Anbieter von öffentlichen Verkehrsmittel</w:t>
      </w:r>
      <w:r w:rsidR="00AA5FF0">
        <w:rPr>
          <w:rFonts w:asciiTheme="majorHAnsi" w:hAnsiTheme="majorHAnsi" w:cstheme="majorHAnsi"/>
          <w:szCs w:val="22"/>
        </w:rPr>
        <w:t>n</w:t>
      </w:r>
      <w:r>
        <w:rPr>
          <w:rFonts w:asciiTheme="majorHAnsi" w:hAnsiTheme="majorHAnsi" w:cstheme="majorHAnsi"/>
          <w:szCs w:val="22"/>
        </w:rPr>
        <w:t>, um dieses Ziel zu erreichen</w:t>
      </w:r>
      <w:r w:rsidR="0016247C" w:rsidRPr="00644A5E">
        <w:rPr>
          <w:rFonts w:asciiTheme="majorHAnsi" w:hAnsiTheme="majorHAnsi" w:cstheme="majorHAnsi"/>
          <w:szCs w:val="22"/>
        </w:rPr>
        <w:t>.</w:t>
      </w:r>
      <w:r w:rsidR="00A96BDE" w:rsidRPr="00644A5E">
        <w:rPr>
          <w:rFonts w:asciiTheme="majorHAnsi" w:hAnsiTheme="majorHAnsi" w:cstheme="majorHAnsi"/>
          <w:szCs w:val="22"/>
        </w:rPr>
        <w:t xml:space="preserve"> </w:t>
      </w:r>
      <w:r w:rsidR="006B28BD" w:rsidRPr="00644A5E">
        <w:rPr>
          <w:rFonts w:asciiTheme="majorHAnsi" w:hAnsiTheme="majorHAnsi" w:cstheme="majorHAnsi"/>
          <w:szCs w:val="22"/>
        </w:rPr>
        <w:t>Ergänzende</w:t>
      </w:r>
      <w:r w:rsidR="00C37E02" w:rsidRPr="00644A5E">
        <w:rPr>
          <w:rFonts w:asciiTheme="majorHAnsi" w:hAnsiTheme="majorHAnsi" w:cstheme="majorHAnsi"/>
          <w:szCs w:val="22"/>
        </w:rPr>
        <w:t xml:space="preserve"> Fahrdienste</w:t>
      </w:r>
      <w:r w:rsidR="006B28BD" w:rsidRPr="00644A5E">
        <w:rPr>
          <w:rFonts w:asciiTheme="majorHAnsi" w:hAnsiTheme="majorHAnsi" w:cstheme="majorHAnsi"/>
          <w:szCs w:val="22"/>
        </w:rPr>
        <w:t xml:space="preserve"> zum ÖV</w:t>
      </w:r>
      <w:r w:rsidR="00C37E02" w:rsidRPr="00644A5E">
        <w:rPr>
          <w:rFonts w:asciiTheme="majorHAnsi" w:hAnsiTheme="majorHAnsi" w:cstheme="majorHAnsi"/>
          <w:szCs w:val="22"/>
        </w:rPr>
        <w:t xml:space="preserve"> sind keine Alternative</w:t>
      </w:r>
      <w:r w:rsidR="006B28BD" w:rsidRPr="00644A5E">
        <w:rPr>
          <w:rFonts w:asciiTheme="majorHAnsi" w:hAnsiTheme="majorHAnsi" w:cstheme="majorHAnsi"/>
          <w:szCs w:val="22"/>
        </w:rPr>
        <w:t>, sondern müssen klar als Ergänzung gesehen werden</w:t>
      </w:r>
      <w:r w:rsidR="00C37E02" w:rsidRPr="00644A5E">
        <w:rPr>
          <w:rFonts w:asciiTheme="majorHAnsi" w:hAnsiTheme="majorHAnsi" w:cstheme="majorHAnsi"/>
          <w:szCs w:val="22"/>
        </w:rPr>
        <w:t xml:space="preserve">, </w:t>
      </w:r>
      <w:r w:rsidR="006B28BD" w:rsidRPr="00644A5E">
        <w:rPr>
          <w:rFonts w:asciiTheme="majorHAnsi" w:hAnsiTheme="majorHAnsi" w:cstheme="majorHAnsi"/>
          <w:szCs w:val="22"/>
        </w:rPr>
        <w:t>die</w:t>
      </w:r>
      <w:r w:rsidR="00C37E02" w:rsidRPr="00644A5E">
        <w:rPr>
          <w:rFonts w:asciiTheme="majorHAnsi" w:hAnsiTheme="majorHAnsi" w:cstheme="majorHAnsi"/>
          <w:szCs w:val="22"/>
        </w:rPr>
        <w:t xml:space="preserve"> für gewisse Betroffene </w:t>
      </w:r>
      <w:r w:rsidR="00E93B6D" w:rsidRPr="00644A5E">
        <w:rPr>
          <w:rFonts w:asciiTheme="majorHAnsi" w:hAnsiTheme="majorHAnsi" w:cstheme="majorHAnsi"/>
          <w:szCs w:val="22"/>
        </w:rPr>
        <w:t>nichtsdestotrotz</w:t>
      </w:r>
      <w:r w:rsidR="00C37E02" w:rsidRPr="00644A5E">
        <w:rPr>
          <w:rFonts w:asciiTheme="majorHAnsi" w:hAnsiTheme="majorHAnsi" w:cstheme="majorHAnsi"/>
          <w:szCs w:val="22"/>
        </w:rPr>
        <w:t xml:space="preserve"> wichtig </w:t>
      </w:r>
      <w:r w:rsidR="006B28BD" w:rsidRPr="00644A5E">
        <w:rPr>
          <w:rFonts w:asciiTheme="majorHAnsi" w:hAnsiTheme="majorHAnsi" w:cstheme="majorHAnsi"/>
          <w:szCs w:val="22"/>
        </w:rPr>
        <w:t>ist</w:t>
      </w:r>
      <w:r w:rsidR="00C37E02" w:rsidRPr="00644A5E">
        <w:rPr>
          <w:rFonts w:asciiTheme="majorHAnsi" w:hAnsiTheme="majorHAnsi" w:cstheme="majorHAnsi"/>
          <w:szCs w:val="22"/>
        </w:rPr>
        <w:t xml:space="preserve">. </w:t>
      </w:r>
      <w:r w:rsidR="006B28BD" w:rsidRPr="00644A5E">
        <w:rPr>
          <w:rFonts w:asciiTheme="majorHAnsi" w:hAnsiTheme="majorHAnsi" w:cstheme="majorHAnsi"/>
          <w:szCs w:val="22"/>
        </w:rPr>
        <w:t>Diese müssten entsprechend den Erkenntnissen einer wissenschaftlichen Studie dafür jedoch im BehiG verankert sein.</w:t>
      </w:r>
    </w:p>
    <w:p w14:paraId="1E6FCE2E" w14:textId="01A1520B" w:rsidR="00C70327" w:rsidRPr="00644A5E" w:rsidRDefault="0016247C" w:rsidP="00CB3FDD">
      <w:pPr>
        <w:pStyle w:val="Listenabsatz"/>
        <w:numPr>
          <w:ilvl w:val="0"/>
          <w:numId w:val="44"/>
        </w:numPr>
        <w:rPr>
          <w:rFonts w:asciiTheme="majorHAnsi" w:hAnsiTheme="majorHAnsi" w:cstheme="majorHAnsi"/>
          <w:szCs w:val="22"/>
        </w:rPr>
      </w:pPr>
      <w:r w:rsidRPr="00644A5E">
        <w:rPr>
          <w:rFonts w:asciiTheme="majorHAnsi" w:hAnsiTheme="majorHAnsi" w:cstheme="majorHAnsi"/>
          <w:szCs w:val="22"/>
        </w:rPr>
        <w:t xml:space="preserve">Ein konkret vorgeschriebener </w:t>
      </w:r>
      <w:r w:rsidRPr="00644A5E">
        <w:rPr>
          <w:rFonts w:asciiTheme="majorHAnsi" w:hAnsiTheme="majorHAnsi" w:cstheme="majorHAnsi"/>
          <w:b/>
          <w:bCs/>
          <w:szCs w:val="22"/>
        </w:rPr>
        <w:t>Einbezug</w:t>
      </w:r>
      <w:r w:rsidRPr="00644A5E">
        <w:rPr>
          <w:rFonts w:asciiTheme="majorHAnsi" w:hAnsiTheme="majorHAnsi" w:cstheme="majorHAnsi"/>
          <w:szCs w:val="22"/>
        </w:rPr>
        <w:t xml:space="preserve"> </w:t>
      </w:r>
      <w:r w:rsidRPr="00644A5E">
        <w:rPr>
          <w:rFonts w:asciiTheme="majorHAnsi" w:hAnsiTheme="majorHAnsi" w:cstheme="majorHAnsi"/>
          <w:b/>
          <w:bCs/>
          <w:szCs w:val="22"/>
        </w:rPr>
        <w:t>von Menschen mit Behinderungen</w:t>
      </w:r>
      <w:r w:rsidRPr="00644A5E">
        <w:rPr>
          <w:rFonts w:asciiTheme="majorHAnsi" w:hAnsiTheme="majorHAnsi" w:cstheme="majorHAnsi"/>
          <w:szCs w:val="22"/>
        </w:rPr>
        <w:t xml:space="preserve"> und der vertretenden </w:t>
      </w:r>
      <w:r w:rsidR="00E93B6D" w:rsidRPr="00644A5E">
        <w:rPr>
          <w:rFonts w:asciiTheme="majorHAnsi" w:hAnsiTheme="majorHAnsi" w:cstheme="majorHAnsi"/>
          <w:szCs w:val="22"/>
        </w:rPr>
        <w:t>Organisationen</w:t>
      </w:r>
      <w:r w:rsidRPr="00644A5E">
        <w:rPr>
          <w:rFonts w:asciiTheme="majorHAnsi" w:hAnsiTheme="majorHAnsi" w:cstheme="majorHAnsi"/>
          <w:szCs w:val="22"/>
        </w:rPr>
        <w:t xml:space="preserve"> </w:t>
      </w:r>
      <w:r w:rsidR="005D3AB3" w:rsidRPr="00644A5E">
        <w:rPr>
          <w:rFonts w:asciiTheme="majorHAnsi" w:hAnsiTheme="majorHAnsi" w:cstheme="majorHAnsi"/>
          <w:szCs w:val="22"/>
        </w:rPr>
        <w:t xml:space="preserve">bei allen Elementen der Verwirklichung des Abbaus von Benachteiligungen fehlt. </w:t>
      </w:r>
      <w:r w:rsidR="00E93B6D" w:rsidRPr="00644A5E">
        <w:rPr>
          <w:rFonts w:asciiTheme="majorHAnsi" w:hAnsiTheme="majorHAnsi" w:cstheme="majorHAnsi"/>
          <w:szCs w:val="22"/>
        </w:rPr>
        <w:t xml:space="preserve">Stattdessen wird </w:t>
      </w:r>
      <w:r w:rsidR="009F2DB2" w:rsidRPr="00644A5E">
        <w:rPr>
          <w:rFonts w:asciiTheme="majorHAnsi" w:hAnsiTheme="majorHAnsi" w:cstheme="majorHAnsi"/>
          <w:szCs w:val="22"/>
        </w:rPr>
        <w:t>mit der Änderung beim</w:t>
      </w:r>
      <w:r w:rsidR="00E93B6D" w:rsidRPr="00644A5E">
        <w:rPr>
          <w:rFonts w:asciiTheme="majorHAnsi" w:hAnsiTheme="majorHAnsi" w:cstheme="majorHAnsi"/>
          <w:szCs w:val="22"/>
        </w:rPr>
        <w:t xml:space="preserve"> Verbandsbeschwerderecht</w:t>
      </w:r>
      <w:r w:rsidR="009F2DB2" w:rsidRPr="00644A5E">
        <w:rPr>
          <w:rFonts w:asciiTheme="majorHAnsi" w:hAnsiTheme="majorHAnsi" w:cstheme="majorHAnsi"/>
          <w:szCs w:val="22"/>
        </w:rPr>
        <w:t xml:space="preserve"> der dadurch oft nötige korrektive Eingriff noch erschwert.</w:t>
      </w:r>
    </w:p>
    <w:p w14:paraId="146919E5" w14:textId="28A76F8E" w:rsidR="00C70327" w:rsidRPr="00EB322A" w:rsidRDefault="00C70327" w:rsidP="00C70327">
      <w:pPr>
        <w:pStyle w:val="Listenabsatz"/>
        <w:rPr>
          <w:rFonts w:asciiTheme="majorHAnsi" w:hAnsiTheme="majorHAnsi" w:cstheme="majorHAnsi"/>
          <w:szCs w:val="22"/>
          <w:highlight w:val="yellow"/>
        </w:rPr>
      </w:pPr>
    </w:p>
    <w:p w14:paraId="200BD72D" w14:textId="54E3638E" w:rsidR="00162EE9" w:rsidRPr="00DA6749" w:rsidRDefault="00162EE9" w:rsidP="006C6410">
      <w:pPr>
        <w:ind w:right="142"/>
        <w:rPr>
          <w:rFonts w:asciiTheme="majorHAnsi" w:hAnsiTheme="majorHAnsi" w:cstheme="majorHAnsi"/>
          <w:szCs w:val="22"/>
        </w:rPr>
      </w:pPr>
      <w:r w:rsidRPr="00DA6749">
        <w:rPr>
          <w:rFonts w:asciiTheme="majorHAnsi" w:hAnsiTheme="majorHAnsi" w:cstheme="majorHAnsi"/>
          <w:szCs w:val="22"/>
        </w:rPr>
        <w:t>Wir bitten Sie, unsere Anliegen zu berücksichtigen</w:t>
      </w:r>
      <w:r w:rsidR="00FD71E1">
        <w:rPr>
          <w:rFonts w:asciiTheme="majorHAnsi" w:hAnsiTheme="majorHAnsi" w:cstheme="majorHAnsi"/>
          <w:szCs w:val="22"/>
        </w:rPr>
        <w:t xml:space="preserve"> </w:t>
      </w:r>
      <w:r w:rsidRPr="00DA6749">
        <w:rPr>
          <w:rFonts w:asciiTheme="majorHAnsi" w:hAnsiTheme="majorHAnsi" w:cstheme="majorHAnsi"/>
          <w:szCs w:val="22"/>
        </w:rPr>
        <w:t>und danken Ihnen für die Gelegenheit zur Stellungnahme.</w:t>
      </w:r>
    </w:p>
    <w:p w14:paraId="722B320F" w14:textId="77777777" w:rsidR="00DD796A" w:rsidRDefault="00DD796A" w:rsidP="006C6410">
      <w:pPr>
        <w:rPr>
          <w:rFonts w:asciiTheme="majorHAnsi" w:hAnsiTheme="majorHAnsi" w:cstheme="majorHAnsi"/>
          <w:szCs w:val="22"/>
        </w:rPr>
      </w:pPr>
    </w:p>
    <w:p w14:paraId="11AA4966" w14:textId="77777777" w:rsidR="00FD71E1" w:rsidRPr="00DA6749" w:rsidRDefault="00FD71E1" w:rsidP="006C6410">
      <w:pPr>
        <w:rPr>
          <w:rFonts w:asciiTheme="majorHAnsi" w:hAnsiTheme="majorHAnsi" w:cstheme="majorHAnsi"/>
          <w:szCs w:val="22"/>
        </w:rPr>
      </w:pPr>
    </w:p>
    <w:p w14:paraId="43FF077D" w14:textId="1CD327D3" w:rsidR="00AA5D77" w:rsidRPr="00DA6749" w:rsidRDefault="00AA5D77" w:rsidP="006C6410">
      <w:pPr>
        <w:rPr>
          <w:rFonts w:asciiTheme="majorHAnsi" w:hAnsiTheme="majorHAnsi" w:cstheme="majorHAnsi"/>
          <w:szCs w:val="22"/>
        </w:rPr>
      </w:pPr>
      <w:r w:rsidRPr="00DA6749">
        <w:rPr>
          <w:rFonts w:asciiTheme="majorHAnsi" w:hAnsiTheme="majorHAnsi" w:cstheme="majorHAnsi"/>
          <w:szCs w:val="22"/>
        </w:rPr>
        <w:t>Pro Infirmis</w:t>
      </w:r>
    </w:p>
    <w:p w14:paraId="14D66D9C" w14:textId="7D2A7159" w:rsidR="00D47219" w:rsidRPr="00DA6749" w:rsidRDefault="00162EE9" w:rsidP="00632891">
      <w:pPr>
        <w:rPr>
          <w:rFonts w:asciiTheme="majorHAnsi" w:hAnsiTheme="majorHAnsi" w:cstheme="majorHAnsi"/>
          <w:szCs w:val="22"/>
        </w:rPr>
      </w:pPr>
      <w:r w:rsidRPr="00DA6749">
        <w:rPr>
          <w:rFonts w:asciiTheme="majorHAnsi" w:hAnsiTheme="majorHAnsi" w:cstheme="majorHAnsi"/>
          <w:szCs w:val="22"/>
        </w:rPr>
        <w:t>Für die Direktion</w:t>
      </w:r>
    </w:p>
    <w:p w14:paraId="4CA4D836" w14:textId="360424E7" w:rsidR="00C26DC9" w:rsidRDefault="00C26DC9" w:rsidP="006C6410">
      <w:pPr>
        <w:rPr>
          <w:rFonts w:asciiTheme="majorHAnsi" w:hAnsiTheme="majorHAnsi" w:cstheme="majorHAnsi"/>
          <w:szCs w:val="22"/>
        </w:rPr>
      </w:pPr>
    </w:p>
    <w:p w14:paraId="38816073" w14:textId="70A98924" w:rsidR="00CB3FDD" w:rsidRDefault="00CB3FDD" w:rsidP="006C6410">
      <w:pPr>
        <w:rPr>
          <w:rFonts w:asciiTheme="majorHAnsi" w:hAnsiTheme="majorHAnsi" w:cstheme="majorHAnsi"/>
          <w:szCs w:val="22"/>
        </w:rPr>
      </w:pPr>
    </w:p>
    <w:p w14:paraId="2CF525EB" w14:textId="06A8B23E" w:rsidR="00FD71E1" w:rsidRDefault="00FD71E1" w:rsidP="006C6410">
      <w:pPr>
        <w:rPr>
          <w:rFonts w:asciiTheme="majorHAnsi" w:hAnsiTheme="majorHAnsi" w:cstheme="majorHAnsi"/>
          <w:szCs w:val="22"/>
        </w:rPr>
      </w:pPr>
    </w:p>
    <w:p w14:paraId="2D5F8205" w14:textId="77777777" w:rsidR="00FD71E1" w:rsidRPr="00DA6749" w:rsidRDefault="00FD71E1" w:rsidP="006C6410">
      <w:pPr>
        <w:rPr>
          <w:rFonts w:asciiTheme="majorHAnsi" w:hAnsiTheme="majorHAnsi" w:cstheme="majorHAnsi"/>
          <w:szCs w:val="22"/>
        </w:rPr>
      </w:pPr>
    </w:p>
    <w:p w14:paraId="26A1A742" w14:textId="31D08BE4" w:rsidR="00AA5D77" w:rsidRPr="00DA6749" w:rsidRDefault="00AA5D77" w:rsidP="006C6410">
      <w:pPr>
        <w:rPr>
          <w:rFonts w:asciiTheme="majorHAnsi" w:hAnsiTheme="majorHAnsi" w:cstheme="majorHAnsi"/>
          <w:szCs w:val="22"/>
        </w:rPr>
      </w:pPr>
      <w:r w:rsidRPr="00DA6749">
        <w:rPr>
          <w:rFonts w:asciiTheme="majorHAnsi" w:hAnsiTheme="majorHAnsi" w:cstheme="majorHAnsi"/>
          <w:szCs w:val="22"/>
        </w:rPr>
        <w:t>Felicitas Huggenberger</w:t>
      </w:r>
      <w:r w:rsidRPr="00DA6749">
        <w:rPr>
          <w:rFonts w:asciiTheme="majorHAnsi" w:hAnsiTheme="majorHAnsi" w:cstheme="majorHAnsi"/>
          <w:szCs w:val="22"/>
        </w:rPr>
        <w:tab/>
      </w:r>
      <w:r w:rsidRPr="00DA6749">
        <w:rPr>
          <w:rFonts w:asciiTheme="majorHAnsi" w:hAnsiTheme="majorHAnsi" w:cstheme="majorHAnsi"/>
          <w:szCs w:val="22"/>
        </w:rPr>
        <w:tab/>
      </w:r>
      <w:r w:rsidRPr="00DA6749">
        <w:rPr>
          <w:rFonts w:asciiTheme="majorHAnsi" w:hAnsiTheme="majorHAnsi" w:cstheme="majorHAnsi"/>
          <w:szCs w:val="22"/>
        </w:rPr>
        <w:tab/>
      </w:r>
      <w:r w:rsidRPr="00DA6749">
        <w:rPr>
          <w:rFonts w:asciiTheme="majorHAnsi" w:hAnsiTheme="majorHAnsi" w:cstheme="majorHAnsi"/>
          <w:szCs w:val="22"/>
        </w:rPr>
        <w:tab/>
      </w:r>
      <w:r w:rsidR="00333AE6">
        <w:rPr>
          <w:rFonts w:asciiTheme="majorHAnsi" w:hAnsiTheme="majorHAnsi" w:cstheme="majorHAnsi"/>
          <w:szCs w:val="22"/>
        </w:rPr>
        <w:t>Stéphanie Zufferey</w:t>
      </w:r>
    </w:p>
    <w:p w14:paraId="58385AE6" w14:textId="03812089" w:rsidR="008E7B1C" w:rsidRDefault="00316F80" w:rsidP="006C6410">
      <w:pPr>
        <w:ind w:left="4950" w:hanging="4950"/>
        <w:rPr>
          <w:rFonts w:asciiTheme="majorHAnsi" w:hAnsiTheme="majorHAnsi" w:cstheme="majorHAnsi"/>
          <w:szCs w:val="22"/>
        </w:rPr>
      </w:pPr>
      <w:r w:rsidRPr="00DA6749">
        <w:rPr>
          <w:rFonts w:asciiTheme="majorHAnsi" w:hAnsiTheme="majorHAnsi" w:cstheme="majorHAnsi"/>
          <w:szCs w:val="22"/>
        </w:rPr>
        <w:t>Direktorin</w:t>
      </w:r>
      <w:r w:rsidR="00AA5D77" w:rsidRPr="00DA6749">
        <w:rPr>
          <w:rFonts w:asciiTheme="majorHAnsi" w:hAnsiTheme="majorHAnsi" w:cstheme="majorHAnsi"/>
          <w:szCs w:val="22"/>
        </w:rPr>
        <w:tab/>
      </w:r>
      <w:r w:rsidR="00AA5D77" w:rsidRPr="00DA6749">
        <w:rPr>
          <w:rFonts w:asciiTheme="majorHAnsi" w:hAnsiTheme="majorHAnsi" w:cstheme="majorHAnsi"/>
          <w:szCs w:val="22"/>
        </w:rPr>
        <w:tab/>
      </w:r>
      <w:r w:rsidR="002172EE" w:rsidRPr="00DA6749">
        <w:rPr>
          <w:rFonts w:asciiTheme="majorHAnsi" w:hAnsiTheme="majorHAnsi" w:cstheme="majorHAnsi"/>
          <w:szCs w:val="22"/>
        </w:rPr>
        <w:t>Mitglied der Geschäftsleitung</w:t>
      </w:r>
      <w:r w:rsidR="00F4562D" w:rsidRPr="00DA6749">
        <w:rPr>
          <w:rFonts w:asciiTheme="majorHAnsi" w:hAnsiTheme="majorHAnsi" w:cstheme="majorHAnsi"/>
          <w:szCs w:val="22"/>
        </w:rPr>
        <w:t xml:space="preserve"> </w:t>
      </w:r>
    </w:p>
    <w:p w14:paraId="123ADAA0" w14:textId="77777777" w:rsidR="00663FF0" w:rsidRDefault="00663FF0" w:rsidP="006C6410">
      <w:pPr>
        <w:ind w:left="4950" w:hanging="4950"/>
        <w:rPr>
          <w:rFonts w:asciiTheme="majorHAnsi" w:hAnsiTheme="majorHAnsi" w:cstheme="majorHAnsi"/>
          <w:szCs w:val="22"/>
        </w:rPr>
      </w:pPr>
    </w:p>
    <w:p w14:paraId="2778E628" w14:textId="77777777" w:rsidR="00663FF0" w:rsidRDefault="00663FF0" w:rsidP="006C6410">
      <w:pPr>
        <w:ind w:left="4950" w:hanging="4950"/>
        <w:rPr>
          <w:rFonts w:asciiTheme="majorHAnsi" w:hAnsiTheme="majorHAnsi" w:cstheme="majorHAnsi"/>
          <w:szCs w:val="22"/>
        </w:rPr>
      </w:pPr>
    </w:p>
    <w:p w14:paraId="12404FEB" w14:textId="77777777" w:rsidR="00663FF0" w:rsidRDefault="00663FF0" w:rsidP="006C6410">
      <w:pPr>
        <w:ind w:left="4950" w:hanging="4950"/>
        <w:rPr>
          <w:rFonts w:asciiTheme="majorHAnsi" w:hAnsiTheme="majorHAnsi" w:cstheme="majorHAnsi"/>
          <w:szCs w:val="22"/>
        </w:rPr>
      </w:pPr>
    </w:p>
    <w:p w14:paraId="57E32259" w14:textId="4C983AE6" w:rsidR="00663FF0" w:rsidRDefault="00663FF0">
      <w:pPr>
        <w:rPr>
          <w:rFonts w:asciiTheme="majorHAnsi" w:hAnsiTheme="majorHAnsi" w:cstheme="majorHAnsi"/>
          <w:szCs w:val="22"/>
        </w:rPr>
      </w:pPr>
      <w:r>
        <w:rPr>
          <w:rFonts w:asciiTheme="majorHAnsi" w:hAnsiTheme="majorHAnsi" w:cstheme="majorHAnsi"/>
          <w:szCs w:val="22"/>
        </w:rPr>
        <w:br w:type="page"/>
      </w:r>
    </w:p>
    <w:bookmarkStart w:id="0" w:name="_Toc161749134" w:displacedByCustomXml="next"/>
    <w:sdt>
      <w:sdtPr>
        <w:rPr>
          <w:rFonts w:eastAsiaTheme="minorHAnsi" w:cs="Arial"/>
          <w:b w:val="0"/>
          <w:sz w:val="22"/>
          <w:szCs w:val="22"/>
          <w:lang w:val="de-DE" w:eastAsia="en-US"/>
        </w:rPr>
        <w:id w:val="-1764296024"/>
        <w:docPartObj>
          <w:docPartGallery w:val="Table of Contents"/>
          <w:docPartUnique/>
        </w:docPartObj>
      </w:sdtPr>
      <w:sdtEndPr>
        <w:rPr>
          <w:rFonts w:cstheme="minorBidi"/>
        </w:rPr>
      </w:sdtEndPr>
      <w:sdtContent>
        <w:p w14:paraId="31C10D80" w14:textId="74ED3F09" w:rsidR="00CB3FDD" w:rsidRPr="00663FF0" w:rsidRDefault="00CB3FDD" w:rsidP="00CB3FDD">
          <w:pPr>
            <w:pStyle w:val="Inhaltsverzeichnisberschrift"/>
            <w:rPr>
              <w:rStyle w:val="TextkrperZchn"/>
              <w:lang w:val="de-DE"/>
            </w:rPr>
          </w:pPr>
          <w:r w:rsidRPr="00CB3FDD">
            <w:rPr>
              <w:rStyle w:val="TextkrperZchn"/>
              <w:sz w:val="22"/>
            </w:rPr>
            <w:t>Inhalt</w:t>
          </w:r>
          <w:bookmarkEnd w:id="0"/>
        </w:p>
        <w:p w14:paraId="562FBE1E" w14:textId="325ABA69" w:rsidR="00CB3FDD" w:rsidRPr="00CB3FDD" w:rsidRDefault="00CB3FDD" w:rsidP="00CB3FDD">
          <w:pPr>
            <w:pStyle w:val="Verzeichnis1"/>
            <w:rPr>
              <w:rFonts w:asciiTheme="minorHAnsi" w:eastAsiaTheme="minorEastAsia" w:hAnsiTheme="minorHAnsi" w:cstheme="minorBidi"/>
              <w:b w:val="0"/>
              <w:noProof/>
              <w:sz w:val="22"/>
              <w:lang w:eastAsia="de-CH"/>
            </w:rPr>
          </w:pPr>
          <w:r w:rsidRPr="00CB3FDD">
            <w:rPr>
              <w:sz w:val="22"/>
            </w:rPr>
            <w:fldChar w:fldCharType="begin"/>
          </w:r>
          <w:r w:rsidRPr="00CB3FDD">
            <w:rPr>
              <w:sz w:val="22"/>
            </w:rPr>
            <w:instrText xml:space="preserve"> TOC \o "1-3" \h \z \u </w:instrText>
          </w:r>
          <w:r w:rsidRPr="00CB3FDD">
            <w:rPr>
              <w:sz w:val="22"/>
            </w:rPr>
            <w:fldChar w:fldCharType="separate"/>
          </w:r>
        </w:p>
        <w:p w14:paraId="3025CBE3" w14:textId="370FC84E" w:rsidR="00CB3FDD" w:rsidRPr="00CB3FDD" w:rsidRDefault="00CD204B" w:rsidP="00CB3FDD">
          <w:pPr>
            <w:pStyle w:val="Verzeichnis1"/>
            <w:rPr>
              <w:rFonts w:asciiTheme="minorHAnsi" w:eastAsiaTheme="minorEastAsia" w:hAnsiTheme="minorHAnsi" w:cstheme="minorBidi"/>
              <w:b w:val="0"/>
              <w:noProof/>
              <w:sz w:val="22"/>
              <w:lang w:eastAsia="de-CH"/>
            </w:rPr>
          </w:pPr>
          <w:hyperlink r:id="rId7" w:anchor="_Toc161749135" w:history="1">
            <w:r w:rsidR="00CB3FDD" w:rsidRPr="00CB3FDD">
              <w:rPr>
                <w:rStyle w:val="Hyperlink"/>
                <w:noProof/>
                <w:sz w:val="22"/>
              </w:rPr>
              <w:t>1.</w:t>
            </w:r>
            <w:r w:rsidR="00CB3FDD" w:rsidRPr="00CB3FDD">
              <w:rPr>
                <w:rStyle w:val="Hyperlink"/>
                <w:rFonts w:asciiTheme="minorHAnsi" w:eastAsiaTheme="minorEastAsia" w:hAnsiTheme="minorHAnsi" w:cstheme="minorBidi"/>
                <w:b w:val="0"/>
                <w:noProof/>
                <w:sz w:val="22"/>
                <w:lang w:eastAsia="de-CH"/>
              </w:rPr>
              <w:tab/>
            </w:r>
            <w:r w:rsidR="00CB3FDD" w:rsidRPr="00CB3FDD">
              <w:rPr>
                <w:rStyle w:val="Hyperlink"/>
                <w:noProof/>
                <w:sz w:val="22"/>
              </w:rPr>
              <w:t>Das Wesentliche in Kürze</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_Toc161749135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5</w:t>
            </w:r>
            <w:r w:rsidR="00CB3FDD" w:rsidRPr="00CB3FDD">
              <w:rPr>
                <w:rStyle w:val="Hyperlink"/>
                <w:noProof/>
                <w:webHidden/>
                <w:sz w:val="22"/>
              </w:rPr>
              <w:fldChar w:fldCharType="end"/>
            </w:r>
          </w:hyperlink>
        </w:p>
        <w:p w14:paraId="350B8195" w14:textId="79CE66AE" w:rsidR="00CB3FDD" w:rsidRPr="00CB3FDD" w:rsidRDefault="00CD204B" w:rsidP="00CB3FDD">
          <w:pPr>
            <w:pStyle w:val="Verzeichnis1"/>
            <w:rPr>
              <w:rFonts w:asciiTheme="minorHAnsi" w:eastAsiaTheme="minorEastAsia" w:hAnsiTheme="minorHAnsi" w:cstheme="minorBidi"/>
              <w:b w:val="0"/>
              <w:noProof/>
              <w:sz w:val="22"/>
              <w:lang w:eastAsia="de-CH"/>
            </w:rPr>
          </w:pPr>
          <w:hyperlink r:id="rId8" w:anchor="_Toc161749136" w:history="1">
            <w:r w:rsidR="00CB3FDD" w:rsidRPr="00CB3FDD">
              <w:rPr>
                <w:rStyle w:val="Hyperlink"/>
                <w:noProof/>
                <w:sz w:val="22"/>
              </w:rPr>
              <w:t>2.</w:t>
            </w:r>
            <w:r w:rsidR="00CB3FDD" w:rsidRPr="00CB3FDD">
              <w:rPr>
                <w:rStyle w:val="Hyperlink"/>
                <w:rFonts w:asciiTheme="minorHAnsi" w:eastAsiaTheme="minorEastAsia" w:hAnsiTheme="minorHAnsi" w:cstheme="minorBidi"/>
                <w:b w:val="0"/>
                <w:noProof/>
                <w:sz w:val="22"/>
                <w:lang w:eastAsia="de-CH"/>
              </w:rPr>
              <w:tab/>
            </w:r>
            <w:r w:rsidR="00CB3FDD" w:rsidRPr="00CB3FDD">
              <w:rPr>
                <w:rStyle w:val="Hyperlink"/>
                <w:noProof/>
                <w:sz w:val="22"/>
              </w:rPr>
              <w:t>Zur Notwendigkeit und Dringlichkeit der BehiG-Revision</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_Toc161749136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5</w:t>
            </w:r>
            <w:r w:rsidR="00CB3FDD" w:rsidRPr="00CB3FDD">
              <w:rPr>
                <w:rStyle w:val="Hyperlink"/>
                <w:noProof/>
                <w:webHidden/>
                <w:sz w:val="22"/>
              </w:rPr>
              <w:fldChar w:fldCharType="end"/>
            </w:r>
          </w:hyperlink>
        </w:p>
        <w:p w14:paraId="1577065D" w14:textId="63E44386" w:rsidR="00CB3FDD" w:rsidRPr="00CB3FDD" w:rsidRDefault="00CD204B" w:rsidP="00CB3FDD">
          <w:pPr>
            <w:pStyle w:val="Verzeichnis1"/>
            <w:rPr>
              <w:rFonts w:asciiTheme="minorHAnsi" w:eastAsiaTheme="minorEastAsia" w:hAnsiTheme="minorHAnsi" w:cstheme="minorBidi"/>
              <w:b w:val="0"/>
              <w:noProof/>
              <w:sz w:val="22"/>
              <w:lang w:eastAsia="de-CH"/>
            </w:rPr>
          </w:pPr>
          <w:hyperlink r:id="rId9" w:anchor="_Toc161749137" w:history="1">
            <w:r w:rsidR="00CB3FDD" w:rsidRPr="00CB3FDD">
              <w:rPr>
                <w:rStyle w:val="Hyperlink"/>
                <w:noProof/>
                <w:sz w:val="22"/>
              </w:rPr>
              <w:t>3.</w:t>
            </w:r>
            <w:r w:rsidR="00CB3FDD" w:rsidRPr="00CB3FDD">
              <w:rPr>
                <w:rStyle w:val="Hyperlink"/>
                <w:rFonts w:asciiTheme="minorHAnsi" w:eastAsiaTheme="minorEastAsia" w:hAnsiTheme="minorHAnsi" w:cstheme="minorBidi"/>
                <w:b w:val="0"/>
                <w:noProof/>
                <w:sz w:val="22"/>
                <w:lang w:eastAsia="de-CH"/>
              </w:rPr>
              <w:tab/>
            </w:r>
            <w:r w:rsidR="00CB3FDD" w:rsidRPr="00CB3FDD">
              <w:rPr>
                <w:rStyle w:val="Hyperlink"/>
                <w:noProof/>
                <w:sz w:val="22"/>
              </w:rPr>
              <w:t>Zum Fokus auf die Bereiche Arbeit und Dienstleistungen Privater</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_Toc161749137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7</w:t>
            </w:r>
            <w:r w:rsidR="00CB3FDD" w:rsidRPr="00CB3FDD">
              <w:rPr>
                <w:rStyle w:val="Hyperlink"/>
                <w:noProof/>
                <w:webHidden/>
                <w:sz w:val="22"/>
              </w:rPr>
              <w:fldChar w:fldCharType="end"/>
            </w:r>
          </w:hyperlink>
        </w:p>
        <w:p w14:paraId="123BD5B9" w14:textId="4F33D646" w:rsidR="00CB3FDD" w:rsidRPr="00CB3FDD" w:rsidRDefault="00CD204B" w:rsidP="00CB3FDD">
          <w:pPr>
            <w:pStyle w:val="Verzeichnis2"/>
            <w:rPr>
              <w:rFonts w:asciiTheme="minorHAnsi" w:eastAsiaTheme="minorEastAsia" w:hAnsiTheme="minorHAnsi" w:cstheme="minorBidi"/>
              <w:sz w:val="22"/>
              <w:lang w:eastAsia="de-CH"/>
            </w:rPr>
          </w:pPr>
          <w:hyperlink r:id="rId10" w:anchor="_Toc161749138" w:history="1">
            <w:r w:rsidR="00CB3FDD" w:rsidRPr="00CB3FDD">
              <w:rPr>
                <w:rStyle w:val="Hyperlink"/>
                <w:sz w:val="22"/>
              </w:rPr>
              <w:t>3.1</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Fehlen einer Nachfolgeregelung für den ÖV (Art. 22 BehiG; Art. 23 VE-BehiG)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_Toc161749138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8</w:t>
            </w:r>
            <w:r w:rsidR="00CB3FDD" w:rsidRPr="00CB3FDD">
              <w:rPr>
                <w:rStyle w:val="Hyperlink"/>
                <w:webHidden/>
                <w:sz w:val="22"/>
              </w:rPr>
              <w:fldChar w:fldCharType="end"/>
            </w:r>
          </w:hyperlink>
        </w:p>
        <w:p w14:paraId="1C82D152" w14:textId="096EBB42" w:rsidR="00CB3FDD" w:rsidRPr="00CB3FDD" w:rsidRDefault="00CD204B" w:rsidP="00CB3FDD">
          <w:pPr>
            <w:pStyle w:val="Verzeichnis3"/>
            <w:rPr>
              <w:rFonts w:asciiTheme="minorHAnsi" w:eastAsiaTheme="minorEastAsia" w:hAnsiTheme="minorHAnsi" w:cstheme="minorBidi"/>
              <w:i w:val="0"/>
              <w:noProof/>
              <w:sz w:val="22"/>
              <w:lang w:eastAsia="de-CH"/>
            </w:rPr>
          </w:pPr>
          <w:hyperlink r:id="rId11" w:anchor="_Toc161749139" w:history="1">
            <w:r w:rsidR="00CB3FDD" w:rsidRPr="00CB3FDD">
              <w:rPr>
                <w:rStyle w:val="Hyperlink"/>
                <w:noProof/>
                <w:sz w:val="22"/>
              </w:rPr>
              <w:t>3.1.1</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Frist nicht eingehalten</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_Toc161749139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8</w:t>
            </w:r>
            <w:r w:rsidR="00CB3FDD" w:rsidRPr="00CB3FDD">
              <w:rPr>
                <w:rStyle w:val="Hyperlink"/>
                <w:noProof/>
                <w:webHidden/>
                <w:sz w:val="22"/>
              </w:rPr>
              <w:fldChar w:fldCharType="end"/>
            </w:r>
          </w:hyperlink>
        </w:p>
        <w:p w14:paraId="61A4EDF9" w14:textId="797DA4A8" w:rsidR="00CB3FDD" w:rsidRPr="00CB3FDD" w:rsidRDefault="00CD204B" w:rsidP="00CB3FDD">
          <w:pPr>
            <w:pStyle w:val="Verzeichnis3"/>
            <w:rPr>
              <w:rFonts w:asciiTheme="minorHAnsi" w:eastAsiaTheme="minorEastAsia" w:hAnsiTheme="minorHAnsi" w:cstheme="minorBidi"/>
              <w:i w:val="0"/>
              <w:noProof/>
              <w:sz w:val="22"/>
              <w:lang w:eastAsia="de-CH"/>
            </w:rPr>
          </w:pPr>
          <w:hyperlink r:id="rId12" w:anchor="_Toc161749140" w:history="1">
            <w:r w:rsidR="00CB3FDD" w:rsidRPr="00CB3FDD">
              <w:rPr>
                <w:rStyle w:val="Hyperlink"/>
                <w:noProof/>
                <w:sz w:val="22"/>
              </w:rPr>
              <w:t>3.1.2</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Falsches Signal an Infrastrukturinhaber:innen und Transportunternehmen</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_Toc161749140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9</w:t>
            </w:r>
            <w:r w:rsidR="00CB3FDD" w:rsidRPr="00CB3FDD">
              <w:rPr>
                <w:rStyle w:val="Hyperlink"/>
                <w:noProof/>
                <w:webHidden/>
                <w:sz w:val="22"/>
              </w:rPr>
              <w:fldChar w:fldCharType="end"/>
            </w:r>
          </w:hyperlink>
        </w:p>
        <w:p w14:paraId="0F4A4DFA" w14:textId="20A1977B" w:rsidR="00CB3FDD" w:rsidRPr="00CB3FDD" w:rsidRDefault="00CD204B" w:rsidP="00CB3FDD">
          <w:pPr>
            <w:pStyle w:val="Verzeichnis3"/>
            <w:rPr>
              <w:rFonts w:asciiTheme="minorHAnsi" w:eastAsiaTheme="minorEastAsia" w:hAnsiTheme="minorHAnsi" w:cstheme="minorBidi"/>
              <w:i w:val="0"/>
              <w:noProof/>
              <w:sz w:val="22"/>
              <w:lang w:eastAsia="de-CH"/>
            </w:rPr>
          </w:pPr>
          <w:hyperlink r:id="rId13" w:anchor="_Toc161749141" w:history="1">
            <w:r w:rsidR="00CB3FDD" w:rsidRPr="00CB3FDD">
              <w:rPr>
                <w:rStyle w:val="Hyperlink"/>
                <w:noProof/>
                <w:sz w:val="22"/>
              </w:rPr>
              <w:t>3.1.3 Korrektur Geltungsbereich verpasst</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_Toc161749141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9</w:t>
            </w:r>
            <w:r w:rsidR="00CB3FDD" w:rsidRPr="00CB3FDD">
              <w:rPr>
                <w:rStyle w:val="Hyperlink"/>
                <w:noProof/>
                <w:webHidden/>
                <w:sz w:val="22"/>
              </w:rPr>
              <w:fldChar w:fldCharType="end"/>
            </w:r>
          </w:hyperlink>
        </w:p>
        <w:p w14:paraId="309E29D1" w14:textId="2D944858" w:rsidR="00CB3FDD" w:rsidRPr="00CB3FDD" w:rsidRDefault="00CD204B" w:rsidP="00CB3FDD">
          <w:pPr>
            <w:pStyle w:val="Verzeichnis2"/>
            <w:rPr>
              <w:rFonts w:asciiTheme="minorHAnsi" w:eastAsiaTheme="minorEastAsia" w:hAnsiTheme="minorHAnsi" w:cstheme="minorBidi"/>
              <w:sz w:val="22"/>
              <w:lang w:eastAsia="de-CH"/>
            </w:rPr>
          </w:pPr>
          <w:hyperlink r:id="rId14" w:anchor="_Toc161749142" w:history="1">
            <w:r w:rsidR="00CB3FDD" w:rsidRPr="00CB3FDD">
              <w:rPr>
                <w:rStyle w:val="Hyperlink"/>
                <w:sz w:val="22"/>
              </w:rPr>
              <w:t>3.2</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Fehlen einer Justierung im Baubereich (Art. 3 lit. a, c und d BehiG)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_Toc161749142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11</w:t>
            </w:r>
            <w:r w:rsidR="00CB3FDD" w:rsidRPr="00CB3FDD">
              <w:rPr>
                <w:rStyle w:val="Hyperlink"/>
                <w:webHidden/>
                <w:sz w:val="22"/>
              </w:rPr>
              <w:fldChar w:fldCharType="end"/>
            </w:r>
          </w:hyperlink>
        </w:p>
        <w:p w14:paraId="3EB70108" w14:textId="4C3DDBDA" w:rsidR="00CB3FDD" w:rsidRPr="00CB3FDD" w:rsidRDefault="00CD204B" w:rsidP="00CB3FDD">
          <w:pPr>
            <w:pStyle w:val="Verzeichnis1"/>
            <w:rPr>
              <w:rFonts w:asciiTheme="minorHAnsi" w:eastAsiaTheme="minorEastAsia" w:hAnsiTheme="minorHAnsi" w:cstheme="minorBidi"/>
              <w:b w:val="0"/>
              <w:noProof/>
              <w:sz w:val="22"/>
              <w:lang w:eastAsia="de-CH"/>
            </w:rPr>
          </w:pPr>
          <w:hyperlink r:id="rId15" w:anchor="_Toc161749143" w:history="1">
            <w:r w:rsidR="00CB3FDD" w:rsidRPr="00CB3FDD">
              <w:rPr>
                <w:rStyle w:val="Hyperlink"/>
                <w:noProof/>
                <w:sz w:val="22"/>
              </w:rPr>
              <w:t>4.</w:t>
            </w:r>
            <w:r w:rsidR="00CB3FDD" w:rsidRPr="00CB3FDD">
              <w:rPr>
                <w:rStyle w:val="Hyperlink"/>
                <w:rFonts w:asciiTheme="minorHAnsi" w:eastAsiaTheme="minorEastAsia" w:hAnsiTheme="minorHAnsi" w:cstheme="minorBidi"/>
                <w:b w:val="0"/>
                <w:noProof/>
                <w:sz w:val="22"/>
                <w:lang w:eastAsia="de-CH"/>
              </w:rPr>
              <w:tab/>
            </w:r>
            <w:r w:rsidR="00CB3FDD" w:rsidRPr="00CB3FDD">
              <w:rPr>
                <w:rStyle w:val="Hyperlink"/>
                <w:noProof/>
                <w:sz w:val="22"/>
              </w:rPr>
              <w:t>Zum Fokus auf den Schutz vor Diskriminierung im Einzelfall</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_Toc161749143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12</w:t>
            </w:r>
            <w:r w:rsidR="00CB3FDD" w:rsidRPr="00CB3FDD">
              <w:rPr>
                <w:rStyle w:val="Hyperlink"/>
                <w:noProof/>
                <w:webHidden/>
                <w:sz w:val="22"/>
              </w:rPr>
              <w:fldChar w:fldCharType="end"/>
            </w:r>
          </w:hyperlink>
        </w:p>
        <w:p w14:paraId="0DAF5C09" w14:textId="2A785937" w:rsidR="00CB3FDD" w:rsidRPr="00CB3FDD" w:rsidRDefault="00CD204B" w:rsidP="00CB3FDD">
          <w:pPr>
            <w:pStyle w:val="Verzeichnis2"/>
            <w:rPr>
              <w:rFonts w:asciiTheme="minorHAnsi" w:eastAsiaTheme="minorEastAsia" w:hAnsiTheme="minorHAnsi" w:cstheme="minorBidi"/>
              <w:sz w:val="22"/>
              <w:lang w:eastAsia="de-CH"/>
            </w:rPr>
          </w:pPr>
          <w:hyperlink r:id="rId16" w:anchor="_Toc161749144" w:history="1">
            <w:r w:rsidR="00CB3FDD" w:rsidRPr="00CB3FDD">
              <w:rPr>
                <w:rStyle w:val="Hyperlink"/>
                <w:sz w:val="22"/>
              </w:rPr>
              <w:t>4.1</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Konkretisierung der objektivrechtlichen Verpflichtungen dringend nötig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_Toc161749144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13</w:t>
            </w:r>
            <w:r w:rsidR="00CB3FDD" w:rsidRPr="00CB3FDD">
              <w:rPr>
                <w:rStyle w:val="Hyperlink"/>
                <w:webHidden/>
                <w:sz w:val="22"/>
              </w:rPr>
              <w:fldChar w:fldCharType="end"/>
            </w:r>
          </w:hyperlink>
        </w:p>
        <w:p w14:paraId="1B6A8DBA" w14:textId="2C220995" w:rsidR="00CB3FDD" w:rsidRPr="00CB3FDD" w:rsidRDefault="00CD204B" w:rsidP="00CB3FDD">
          <w:pPr>
            <w:pStyle w:val="Verzeichnis2"/>
            <w:rPr>
              <w:rFonts w:asciiTheme="minorHAnsi" w:eastAsiaTheme="minorEastAsia" w:hAnsiTheme="minorHAnsi" w:cstheme="minorBidi"/>
              <w:sz w:val="22"/>
              <w:lang w:eastAsia="de-CH"/>
            </w:rPr>
          </w:pPr>
          <w:hyperlink r:id="rId17" w:anchor="_Toc161749145" w:history="1">
            <w:r w:rsidR="00CB3FDD" w:rsidRPr="00CB3FDD">
              <w:rPr>
                <w:rStyle w:val="Hyperlink"/>
                <w:sz w:val="22"/>
              </w:rPr>
              <w:t>4.2</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Unterscheidung zwischen Benachteiligung und Diskriminierung (Art. 2 Abs. 2 und Art. 6 BehiG; Art. 6 und 6a VE-BehiG)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_Toc161749145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14</w:t>
            </w:r>
            <w:r w:rsidR="00CB3FDD" w:rsidRPr="00CB3FDD">
              <w:rPr>
                <w:rStyle w:val="Hyperlink"/>
                <w:webHidden/>
                <w:sz w:val="22"/>
              </w:rPr>
              <w:fldChar w:fldCharType="end"/>
            </w:r>
          </w:hyperlink>
        </w:p>
        <w:p w14:paraId="61CBE4D8" w14:textId="2DFFA607" w:rsidR="00CB3FDD" w:rsidRPr="00CB3FDD" w:rsidRDefault="00CD204B" w:rsidP="00CB3FDD">
          <w:pPr>
            <w:pStyle w:val="Verzeichnis3"/>
            <w:rPr>
              <w:rFonts w:asciiTheme="minorHAnsi" w:eastAsiaTheme="minorEastAsia" w:hAnsiTheme="minorHAnsi" w:cstheme="minorBidi"/>
              <w:i w:val="0"/>
              <w:noProof/>
              <w:sz w:val="22"/>
              <w:lang w:eastAsia="de-CH"/>
            </w:rPr>
          </w:pPr>
          <w:hyperlink r:id="rId18" w:anchor="_Toc161749146" w:history="1">
            <w:r w:rsidR="00CB3FDD" w:rsidRPr="00CB3FDD">
              <w:rPr>
                <w:rStyle w:val="Hyperlink"/>
                <w:noProof/>
                <w:sz w:val="22"/>
              </w:rPr>
              <w:t>4.2.1</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Fehlerhafte Konzeption des BehiG</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_Toc161749146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14</w:t>
            </w:r>
            <w:r w:rsidR="00CB3FDD" w:rsidRPr="00CB3FDD">
              <w:rPr>
                <w:rStyle w:val="Hyperlink"/>
                <w:noProof/>
                <w:webHidden/>
                <w:sz w:val="22"/>
              </w:rPr>
              <w:fldChar w:fldCharType="end"/>
            </w:r>
          </w:hyperlink>
        </w:p>
        <w:p w14:paraId="66172F39" w14:textId="2FFE9A0A" w:rsidR="00CB3FDD" w:rsidRPr="00CB3FDD" w:rsidRDefault="00CD204B" w:rsidP="00CB3FDD">
          <w:pPr>
            <w:pStyle w:val="Verzeichnis3"/>
            <w:rPr>
              <w:rFonts w:asciiTheme="minorHAnsi" w:eastAsiaTheme="minorEastAsia" w:hAnsiTheme="minorHAnsi" w:cstheme="minorBidi"/>
              <w:i w:val="0"/>
              <w:noProof/>
              <w:sz w:val="22"/>
              <w:lang w:eastAsia="de-CH"/>
            </w:rPr>
          </w:pPr>
          <w:hyperlink r:id="rId19" w:anchor="_Toc161749147" w:history="1">
            <w:r w:rsidR="00CB3FDD" w:rsidRPr="00CB3FDD">
              <w:rPr>
                <w:rStyle w:val="Hyperlink"/>
                <w:noProof/>
                <w:sz w:val="22"/>
              </w:rPr>
              <w:t>4.2.2</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Begriffliche Anpassung erforderlich</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_Toc161749147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14</w:t>
            </w:r>
            <w:r w:rsidR="00CB3FDD" w:rsidRPr="00CB3FDD">
              <w:rPr>
                <w:rStyle w:val="Hyperlink"/>
                <w:noProof/>
                <w:webHidden/>
                <w:sz w:val="22"/>
              </w:rPr>
              <w:fldChar w:fldCharType="end"/>
            </w:r>
          </w:hyperlink>
        </w:p>
        <w:p w14:paraId="227B881B" w14:textId="1C15FECA" w:rsidR="00CB3FDD" w:rsidRPr="00CB3FDD" w:rsidRDefault="00CD204B" w:rsidP="00CB3FDD">
          <w:pPr>
            <w:pStyle w:val="Verzeichnis3"/>
            <w:rPr>
              <w:rFonts w:asciiTheme="minorHAnsi" w:eastAsiaTheme="minorEastAsia" w:hAnsiTheme="minorHAnsi" w:cstheme="minorBidi"/>
              <w:i w:val="0"/>
              <w:noProof/>
              <w:sz w:val="22"/>
              <w:lang w:eastAsia="de-CH"/>
            </w:rPr>
          </w:pPr>
          <w:hyperlink r:id="rId20" w:anchor="_Toc161749148" w:history="1">
            <w:r w:rsidR="00CB3FDD" w:rsidRPr="00CB3FDD">
              <w:rPr>
                <w:rStyle w:val="Hyperlink"/>
                <w:noProof/>
                <w:sz w:val="22"/>
              </w:rPr>
              <w:t>4.2.3</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Zwei mögliche Lösungsansätze</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_Toc161749148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16</w:t>
            </w:r>
            <w:r w:rsidR="00CB3FDD" w:rsidRPr="00CB3FDD">
              <w:rPr>
                <w:rStyle w:val="Hyperlink"/>
                <w:noProof/>
                <w:webHidden/>
                <w:sz w:val="22"/>
              </w:rPr>
              <w:fldChar w:fldCharType="end"/>
            </w:r>
          </w:hyperlink>
        </w:p>
        <w:p w14:paraId="78214AF2" w14:textId="26E2C9E8" w:rsidR="00CB3FDD" w:rsidRPr="00CB3FDD" w:rsidRDefault="00CD204B" w:rsidP="00CB3FDD">
          <w:pPr>
            <w:pStyle w:val="Verzeichnis3"/>
            <w:rPr>
              <w:rFonts w:asciiTheme="minorHAnsi" w:eastAsiaTheme="minorEastAsia" w:hAnsiTheme="minorHAnsi" w:cstheme="minorBidi"/>
              <w:i w:val="0"/>
              <w:noProof/>
              <w:sz w:val="22"/>
              <w:lang w:eastAsia="de-CH"/>
            </w:rPr>
          </w:pPr>
          <w:hyperlink r:id="rId21" w:anchor="_Toc161749149" w:history="1">
            <w:r w:rsidR="00CB3FDD" w:rsidRPr="00CB3FDD">
              <w:rPr>
                <w:rStyle w:val="Hyperlink"/>
                <w:noProof/>
                <w:sz w:val="22"/>
              </w:rPr>
              <w:t>4.2.4</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Zu den angemessenen Vorkehrungen</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_Toc161749149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17</w:t>
            </w:r>
            <w:r w:rsidR="00CB3FDD" w:rsidRPr="00CB3FDD">
              <w:rPr>
                <w:rStyle w:val="Hyperlink"/>
                <w:noProof/>
                <w:webHidden/>
                <w:sz w:val="22"/>
              </w:rPr>
              <w:fldChar w:fldCharType="end"/>
            </w:r>
          </w:hyperlink>
        </w:p>
        <w:p w14:paraId="30452FA2" w14:textId="76081ED1" w:rsidR="00CB3FDD" w:rsidRPr="00CB3FDD" w:rsidRDefault="00CD204B" w:rsidP="00CB3FDD">
          <w:pPr>
            <w:pStyle w:val="Verzeichnis2"/>
            <w:rPr>
              <w:rFonts w:asciiTheme="minorHAnsi" w:eastAsiaTheme="minorEastAsia" w:hAnsiTheme="minorHAnsi" w:cstheme="minorBidi"/>
              <w:sz w:val="22"/>
              <w:lang w:eastAsia="de-CH"/>
            </w:rPr>
          </w:pPr>
          <w:hyperlink r:id="rId22" w:anchor="_Toc161749150" w:history="1">
            <w:r w:rsidR="00CB3FDD" w:rsidRPr="00CB3FDD">
              <w:rPr>
                <w:rStyle w:val="Hyperlink"/>
                <w:sz w:val="22"/>
              </w:rPr>
              <w:t>4.3</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Arbeitsverhältnisse (Art. 3 lit. g, 6a und 8a VE-BehiG)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_Toc161749150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17</w:t>
            </w:r>
            <w:r w:rsidR="00CB3FDD" w:rsidRPr="00CB3FDD">
              <w:rPr>
                <w:rStyle w:val="Hyperlink"/>
                <w:webHidden/>
                <w:sz w:val="22"/>
              </w:rPr>
              <w:fldChar w:fldCharType="end"/>
            </w:r>
          </w:hyperlink>
        </w:p>
        <w:p w14:paraId="69412E4B" w14:textId="188736A3" w:rsidR="00CB3FDD" w:rsidRPr="00CB3FDD" w:rsidRDefault="00CD204B" w:rsidP="00CB3FDD">
          <w:pPr>
            <w:pStyle w:val="Verzeichnis2"/>
            <w:rPr>
              <w:rFonts w:asciiTheme="minorHAnsi" w:eastAsiaTheme="minorEastAsia" w:hAnsiTheme="minorHAnsi" w:cstheme="minorBidi"/>
              <w:sz w:val="22"/>
              <w:lang w:eastAsia="de-CH"/>
            </w:rPr>
          </w:pPr>
          <w:hyperlink r:id="rId23" w:anchor="_Toc161749151" w:history="1">
            <w:r w:rsidR="00CB3FDD" w:rsidRPr="00CB3FDD">
              <w:rPr>
                <w:rStyle w:val="Hyperlink"/>
                <w:sz w:val="22"/>
              </w:rPr>
              <w:t>4.4</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Dienstleistungen (Art. 6 und 8 VE-BehiG)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_Toc161749151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18</w:t>
            </w:r>
            <w:r w:rsidR="00CB3FDD" w:rsidRPr="00CB3FDD">
              <w:rPr>
                <w:rStyle w:val="Hyperlink"/>
                <w:webHidden/>
                <w:sz w:val="22"/>
              </w:rPr>
              <w:fldChar w:fldCharType="end"/>
            </w:r>
          </w:hyperlink>
        </w:p>
        <w:p w14:paraId="0499E84A" w14:textId="5C5F5BF5" w:rsidR="00CB3FDD" w:rsidRPr="00CB3FDD" w:rsidRDefault="00CD204B" w:rsidP="00CB3FDD">
          <w:pPr>
            <w:pStyle w:val="Verzeichnis2"/>
            <w:rPr>
              <w:rFonts w:asciiTheme="minorHAnsi" w:eastAsiaTheme="minorEastAsia" w:hAnsiTheme="minorHAnsi" w:cstheme="minorBidi"/>
              <w:sz w:val="22"/>
              <w:lang w:eastAsia="de-CH"/>
            </w:rPr>
          </w:pPr>
          <w:hyperlink r:id="rId24" w:anchor="_Toc161749152" w:history="1">
            <w:r w:rsidR="00CB3FDD" w:rsidRPr="00CB3FDD">
              <w:rPr>
                <w:rStyle w:val="Hyperlink"/>
                <w:sz w:val="22"/>
              </w:rPr>
              <w:t>4.5</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Der Vorschlag zum Verbandsbeschwerderecht (Art. 9 VE-BehiG)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_Toc161749152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19</w:t>
            </w:r>
            <w:r w:rsidR="00CB3FDD" w:rsidRPr="00CB3FDD">
              <w:rPr>
                <w:rStyle w:val="Hyperlink"/>
                <w:webHidden/>
                <w:sz w:val="22"/>
              </w:rPr>
              <w:fldChar w:fldCharType="end"/>
            </w:r>
          </w:hyperlink>
        </w:p>
        <w:p w14:paraId="1F7107B9" w14:textId="2DD7A263" w:rsidR="00CB3FDD" w:rsidRPr="00CB3FDD" w:rsidRDefault="00CD204B" w:rsidP="00CB3FDD">
          <w:pPr>
            <w:pStyle w:val="Verzeichnis3"/>
            <w:rPr>
              <w:rFonts w:asciiTheme="minorHAnsi" w:eastAsiaTheme="minorEastAsia" w:hAnsiTheme="minorHAnsi" w:cstheme="minorBidi"/>
              <w:i w:val="0"/>
              <w:noProof/>
              <w:sz w:val="22"/>
              <w:lang w:eastAsia="de-CH"/>
            </w:rPr>
          </w:pPr>
          <w:hyperlink r:id="rId25" w:anchor="_Toc161749153" w:history="1">
            <w:r w:rsidR="00CB3FDD" w:rsidRPr="00CB3FDD">
              <w:rPr>
                <w:rStyle w:val="Hyperlink"/>
                <w:noProof/>
                <w:sz w:val="22"/>
              </w:rPr>
              <w:t>4.5.1</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Absatz 1</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_Toc161749153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19</w:t>
            </w:r>
            <w:r w:rsidR="00CB3FDD" w:rsidRPr="00CB3FDD">
              <w:rPr>
                <w:rStyle w:val="Hyperlink"/>
                <w:noProof/>
                <w:webHidden/>
                <w:sz w:val="22"/>
              </w:rPr>
              <w:fldChar w:fldCharType="end"/>
            </w:r>
          </w:hyperlink>
        </w:p>
        <w:p w14:paraId="4E41F775" w14:textId="1C2E3744" w:rsidR="00CB3FDD" w:rsidRPr="00CB3FDD" w:rsidRDefault="00CD204B" w:rsidP="00CB3FDD">
          <w:pPr>
            <w:pStyle w:val="Verzeichnis3"/>
            <w:rPr>
              <w:rFonts w:asciiTheme="minorHAnsi" w:eastAsiaTheme="minorEastAsia" w:hAnsiTheme="minorHAnsi" w:cstheme="minorBidi"/>
              <w:i w:val="0"/>
              <w:noProof/>
              <w:sz w:val="22"/>
              <w:lang w:eastAsia="de-CH"/>
            </w:rPr>
          </w:pPr>
          <w:hyperlink r:id="rId26" w:anchor="_Toc161749154" w:history="1">
            <w:r w:rsidR="00CB3FDD" w:rsidRPr="00CB3FDD">
              <w:rPr>
                <w:rStyle w:val="Hyperlink"/>
                <w:noProof/>
                <w:sz w:val="22"/>
              </w:rPr>
              <w:t>4.5.2</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Absatz 2</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_Toc161749154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20</w:t>
            </w:r>
            <w:r w:rsidR="00CB3FDD" w:rsidRPr="00CB3FDD">
              <w:rPr>
                <w:rStyle w:val="Hyperlink"/>
                <w:noProof/>
                <w:webHidden/>
                <w:sz w:val="22"/>
              </w:rPr>
              <w:fldChar w:fldCharType="end"/>
            </w:r>
          </w:hyperlink>
        </w:p>
        <w:p w14:paraId="53BF26A2" w14:textId="204617B4" w:rsidR="00CB3FDD" w:rsidRPr="00CB3FDD" w:rsidRDefault="00CD204B" w:rsidP="00CB3FDD">
          <w:pPr>
            <w:pStyle w:val="Verzeichnis3"/>
            <w:rPr>
              <w:rFonts w:asciiTheme="minorHAnsi" w:eastAsiaTheme="minorEastAsia" w:hAnsiTheme="minorHAnsi" w:cstheme="minorBidi"/>
              <w:i w:val="0"/>
              <w:noProof/>
              <w:sz w:val="22"/>
              <w:lang w:eastAsia="de-CH"/>
            </w:rPr>
          </w:pPr>
          <w:hyperlink r:id="rId27" w:anchor="_Toc161749155" w:history="1">
            <w:r w:rsidR="00CB3FDD" w:rsidRPr="00CB3FDD">
              <w:rPr>
                <w:rStyle w:val="Hyperlink"/>
                <w:noProof/>
                <w:sz w:val="22"/>
              </w:rPr>
              <w:t>4.5.3</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Absatz 3</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_Toc161749155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20</w:t>
            </w:r>
            <w:r w:rsidR="00CB3FDD" w:rsidRPr="00CB3FDD">
              <w:rPr>
                <w:rStyle w:val="Hyperlink"/>
                <w:noProof/>
                <w:webHidden/>
                <w:sz w:val="22"/>
              </w:rPr>
              <w:fldChar w:fldCharType="end"/>
            </w:r>
          </w:hyperlink>
        </w:p>
        <w:p w14:paraId="6739FA9A" w14:textId="1E899A23" w:rsidR="00CB3FDD" w:rsidRPr="00CB3FDD" w:rsidRDefault="00CD204B" w:rsidP="00CB3FDD">
          <w:pPr>
            <w:pStyle w:val="Verzeichnis1"/>
            <w:rPr>
              <w:rFonts w:asciiTheme="minorHAnsi" w:eastAsiaTheme="minorEastAsia" w:hAnsiTheme="minorHAnsi" w:cstheme="minorBidi"/>
              <w:b w:val="0"/>
              <w:noProof/>
              <w:sz w:val="22"/>
              <w:lang w:eastAsia="de-CH"/>
            </w:rPr>
          </w:pPr>
          <w:hyperlink r:id="rId28" w:anchor="_Toc161749156" w:history="1">
            <w:r w:rsidR="00CB3FDD" w:rsidRPr="00CB3FDD">
              <w:rPr>
                <w:rStyle w:val="Hyperlink"/>
                <w:noProof/>
                <w:sz w:val="22"/>
              </w:rPr>
              <w:t>5.</w:t>
            </w:r>
            <w:r w:rsidR="00CB3FDD" w:rsidRPr="00CB3FDD">
              <w:rPr>
                <w:rStyle w:val="Hyperlink"/>
                <w:rFonts w:asciiTheme="minorHAnsi" w:eastAsiaTheme="minorEastAsia" w:hAnsiTheme="minorHAnsi" w:cstheme="minorBidi"/>
                <w:b w:val="0"/>
                <w:noProof/>
                <w:sz w:val="22"/>
                <w:lang w:eastAsia="de-CH"/>
              </w:rPr>
              <w:tab/>
            </w:r>
            <w:r w:rsidR="00CB3FDD" w:rsidRPr="00CB3FDD">
              <w:rPr>
                <w:rStyle w:val="Hyperlink"/>
                <w:noProof/>
                <w:sz w:val="22"/>
              </w:rPr>
              <w:t>Anerkennung und Förderung der Gebärdensprachen (Abschnitt 3a VE-BehiG)</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_Toc161749156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20</w:t>
            </w:r>
            <w:r w:rsidR="00CB3FDD" w:rsidRPr="00CB3FDD">
              <w:rPr>
                <w:rStyle w:val="Hyperlink"/>
                <w:noProof/>
                <w:webHidden/>
                <w:sz w:val="22"/>
              </w:rPr>
              <w:fldChar w:fldCharType="end"/>
            </w:r>
          </w:hyperlink>
        </w:p>
        <w:p w14:paraId="364FD969" w14:textId="13C7C061" w:rsidR="00CB3FDD" w:rsidRPr="00CB3FDD" w:rsidRDefault="00CD204B" w:rsidP="00CB3FDD">
          <w:pPr>
            <w:pStyle w:val="Verzeichnis1"/>
            <w:rPr>
              <w:rFonts w:asciiTheme="minorHAnsi" w:eastAsiaTheme="minorEastAsia" w:hAnsiTheme="minorHAnsi" w:cstheme="minorBidi"/>
              <w:b w:val="0"/>
              <w:noProof/>
              <w:sz w:val="22"/>
              <w:lang w:eastAsia="de-CH"/>
            </w:rPr>
          </w:pPr>
          <w:hyperlink r:id="rId29" w:anchor="_Toc161749157" w:history="1">
            <w:r w:rsidR="00CB3FDD" w:rsidRPr="00CB3FDD">
              <w:rPr>
                <w:rStyle w:val="Hyperlink"/>
                <w:noProof/>
                <w:sz w:val="22"/>
              </w:rPr>
              <w:t>6.</w:t>
            </w:r>
            <w:r w:rsidR="00CB3FDD" w:rsidRPr="00CB3FDD">
              <w:rPr>
                <w:rStyle w:val="Hyperlink"/>
                <w:rFonts w:asciiTheme="minorHAnsi" w:eastAsiaTheme="minorEastAsia" w:hAnsiTheme="minorHAnsi" w:cstheme="minorBidi"/>
                <w:b w:val="0"/>
                <w:noProof/>
                <w:sz w:val="22"/>
                <w:lang w:eastAsia="de-CH"/>
              </w:rPr>
              <w:tab/>
            </w:r>
            <w:r w:rsidR="00CB3FDD" w:rsidRPr="00CB3FDD">
              <w:rPr>
                <w:rStyle w:val="Hyperlink"/>
                <w:noProof/>
                <w:sz w:val="22"/>
              </w:rPr>
              <w:t>Stärkung der Institutionen und Organisationen</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_Toc161749157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21</w:t>
            </w:r>
            <w:r w:rsidR="00CB3FDD" w:rsidRPr="00CB3FDD">
              <w:rPr>
                <w:rStyle w:val="Hyperlink"/>
                <w:noProof/>
                <w:webHidden/>
                <w:sz w:val="22"/>
              </w:rPr>
              <w:fldChar w:fldCharType="end"/>
            </w:r>
          </w:hyperlink>
        </w:p>
        <w:p w14:paraId="30546777" w14:textId="3E7F762E" w:rsidR="00CB3FDD" w:rsidRPr="00CB3FDD" w:rsidRDefault="00CD204B" w:rsidP="00CB3FDD">
          <w:pPr>
            <w:pStyle w:val="Verzeichnis2"/>
            <w:rPr>
              <w:rFonts w:asciiTheme="minorHAnsi" w:eastAsiaTheme="minorEastAsia" w:hAnsiTheme="minorHAnsi" w:cstheme="minorBidi"/>
              <w:sz w:val="22"/>
              <w:lang w:eastAsia="de-CH"/>
            </w:rPr>
          </w:pPr>
          <w:hyperlink r:id="rId30" w:anchor="_Toc161749158" w:history="1">
            <w:r w:rsidR="00CB3FDD" w:rsidRPr="00CB3FDD">
              <w:rPr>
                <w:rStyle w:val="Hyperlink"/>
                <w:sz w:val="22"/>
              </w:rPr>
              <w:t>6.1</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Einbezug der Behindertenorganisationen</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_Toc161749158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21</w:t>
            </w:r>
            <w:r w:rsidR="00CB3FDD" w:rsidRPr="00CB3FDD">
              <w:rPr>
                <w:rStyle w:val="Hyperlink"/>
                <w:webHidden/>
                <w:sz w:val="22"/>
              </w:rPr>
              <w:fldChar w:fldCharType="end"/>
            </w:r>
          </w:hyperlink>
        </w:p>
        <w:p w14:paraId="3111FD4C" w14:textId="1596E031" w:rsidR="00CB3FDD" w:rsidRPr="00CB3FDD" w:rsidRDefault="00CD204B" w:rsidP="00CB3FDD">
          <w:pPr>
            <w:pStyle w:val="Verzeichnis2"/>
            <w:rPr>
              <w:rFonts w:asciiTheme="minorHAnsi" w:eastAsiaTheme="minorEastAsia" w:hAnsiTheme="minorHAnsi" w:cstheme="minorBidi"/>
              <w:sz w:val="22"/>
              <w:lang w:eastAsia="de-CH"/>
            </w:rPr>
          </w:pPr>
          <w:hyperlink r:id="rId31" w:anchor="_Toc161749159" w:history="1">
            <w:r w:rsidR="00CB3FDD" w:rsidRPr="00CB3FDD">
              <w:rPr>
                <w:rStyle w:val="Hyperlink"/>
                <w:sz w:val="22"/>
              </w:rPr>
              <w:t>6.2</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Finanzierung der Behindertenorganisationen</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_Toc161749159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22</w:t>
            </w:r>
            <w:r w:rsidR="00CB3FDD" w:rsidRPr="00CB3FDD">
              <w:rPr>
                <w:rStyle w:val="Hyperlink"/>
                <w:webHidden/>
                <w:sz w:val="22"/>
              </w:rPr>
              <w:fldChar w:fldCharType="end"/>
            </w:r>
          </w:hyperlink>
        </w:p>
        <w:p w14:paraId="1A2F27E0" w14:textId="62335053" w:rsidR="00CB3FDD" w:rsidRPr="00CB3FDD" w:rsidRDefault="00CD204B" w:rsidP="00CB3FDD">
          <w:pPr>
            <w:pStyle w:val="Verzeichnis3"/>
            <w:rPr>
              <w:rFonts w:asciiTheme="minorHAnsi" w:eastAsiaTheme="minorEastAsia" w:hAnsiTheme="minorHAnsi" w:cstheme="minorBidi"/>
              <w:i w:val="0"/>
              <w:noProof/>
              <w:sz w:val="22"/>
              <w:lang w:eastAsia="de-CH"/>
            </w:rPr>
          </w:pPr>
          <w:hyperlink r:id="rId32" w:anchor="_Toc161749160" w:history="1">
            <w:r w:rsidR="00CB3FDD" w:rsidRPr="00CB3FDD">
              <w:rPr>
                <w:rStyle w:val="Hyperlink"/>
                <w:noProof/>
                <w:sz w:val="22"/>
              </w:rPr>
              <w:t>6.2.1</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Grundlage im Invalidenversicherungsrecht</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_Toc161749160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22</w:t>
            </w:r>
            <w:r w:rsidR="00CB3FDD" w:rsidRPr="00CB3FDD">
              <w:rPr>
                <w:rStyle w:val="Hyperlink"/>
                <w:noProof/>
                <w:webHidden/>
                <w:sz w:val="22"/>
              </w:rPr>
              <w:fldChar w:fldCharType="end"/>
            </w:r>
          </w:hyperlink>
        </w:p>
        <w:p w14:paraId="1E1978FF" w14:textId="63BCD279" w:rsidR="00CB3FDD" w:rsidRPr="00CB3FDD" w:rsidRDefault="00CD204B" w:rsidP="00CB3FDD">
          <w:pPr>
            <w:pStyle w:val="Verzeichnis3"/>
            <w:rPr>
              <w:rFonts w:asciiTheme="minorHAnsi" w:eastAsiaTheme="minorEastAsia" w:hAnsiTheme="minorHAnsi" w:cstheme="minorBidi"/>
              <w:i w:val="0"/>
              <w:noProof/>
              <w:sz w:val="22"/>
              <w:lang w:eastAsia="de-CH"/>
            </w:rPr>
          </w:pPr>
          <w:hyperlink r:id="rId33" w:anchor="_Toc161749161" w:history="1">
            <w:r w:rsidR="00CB3FDD" w:rsidRPr="00CB3FDD">
              <w:rPr>
                <w:rStyle w:val="Hyperlink"/>
                <w:noProof/>
                <w:sz w:val="22"/>
              </w:rPr>
              <w:t>6.2.2</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Entwicklung der Aufgaben der Behindertenorganisationen</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_Toc161749161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22</w:t>
            </w:r>
            <w:r w:rsidR="00CB3FDD" w:rsidRPr="00CB3FDD">
              <w:rPr>
                <w:rStyle w:val="Hyperlink"/>
                <w:noProof/>
                <w:webHidden/>
                <w:sz w:val="22"/>
              </w:rPr>
              <w:fldChar w:fldCharType="end"/>
            </w:r>
          </w:hyperlink>
        </w:p>
        <w:p w14:paraId="52438017" w14:textId="76F8C6BD" w:rsidR="00CB3FDD" w:rsidRPr="00CB3FDD" w:rsidRDefault="00CD204B" w:rsidP="00CB3FDD">
          <w:pPr>
            <w:pStyle w:val="Verzeichnis3"/>
            <w:rPr>
              <w:rFonts w:asciiTheme="minorHAnsi" w:eastAsiaTheme="minorEastAsia" w:hAnsiTheme="minorHAnsi" w:cstheme="minorBidi"/>
              <w:i w:val="0"/>
              <w:noProof/>
              <w:sz w:val="22"/>
              <w:lang w:eastAsia="de-CH"/>
            </w:rPr>
          </w:pPr>
          <w:hyperlink r:id="rId34" w:anchor="_Toc161749162" w:history="1">
            <w:r w:rsidR="00CB3FDD" w:rsidRPr="00CB3FDD">
              <w:rPr>
                <w:rStyle w:val="Hyperlink"/>
                <w:noProof/>
                <w:sz w:val="22"/>
              </w:rPr>
              <w:t>6.2.3</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Finanzierung nicht angepasst</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_Toc161749162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23</w:t>
            </w:r>
            <w:r w:rsidR="00CB3FDD" w:rsidRPr="00CB3FDD">
              <w:rPr>
                <w:rStyle w:val="Hyperlink"/>
                <w:noProof/>
                <w:webHidden/>
                <w:sz w:val="22"/>
              </w:rPr>
              <w:fldChar w:fldCharType="end"/>
            </w:r>
          </w:hyperlink>
        </w:p>
        <w:p w14:paraId="0295C7B4" w14:textId="676880D8" w:rsidR="00CB3FDD" w:rsidRPr="00CB3FDD" w:rsidRDefault="00CD204B" w:rsidP="00CB3FDD">
          <w:pPr>
            <w:pStyle w:val="Verzeichnis3"/>
            <w:rPr>
              <w:rFonts w:asciiTheme="minorHAnsi" w:eastAsiaTheme="minorEastAsia" w:hAnsiTheme="minorHAnsi" w:cstheme="minorBidi"/>
              <w:i w:val="0"/>
              <w:noProof/>
              <w:sz w:val="22"/>
              <w:lang w:eastAsia="de-CH"/>
            </w:rPr>
          </w:pPr>
          <w:hyperlink r:id="rId35" w:anchor="_Toc161749163" w:history="1">
            <w:r w:rsidR="00CB3FDD" w:rsidRPr="00CB3FDD">
              <w:rPr>
                <w:rStyle w:val="Hyperlink"/>
                <w:noProof/>
                <w:sz w:val="22"/>
              </w:rPr>
              <w:t>6.2.4</w:t>
            </w:r>
            <w:r w:rsidR="00CB3FDD" w:rsidRPr="00CB3FDD">
              <w:rPr>
                <w:rStyle w:val="Hyperlink"/>
                <w:rFonts w:asciiTheme="minorHAnsi" w:eastAsiaTheme="minorEastAsia" w:hAnsiTheme="minorHAnsi" w:cstheme="minorBidi"/>
                <w:i w:val="0"/>
                <w:noProof/>
                <w:sz w:val="22"/>
                <w:lang w:eastAsia="de-CH"/>
              </w:rPr>
              <w:tab/>
            </w:r>
            <w:r w:rsidR="00CB3FDD" w:rsidRPr="00CB3FDD">
              <w:rPr>
                <w:rStyle w:val="Hyperlink"/>
                <w:noProof/>
                <w:sz w:val="22"/>
              </w:rPr>
              <w:t>Aktualisierung der Rechtsgrundlagen zur Finanzierung</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_Toc161749163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24</w:t>
            </w:r>
            <w:r w:rsidR="00CB3FDD" w:rsidRPr="00CB3FDD">
              <w:rPr>
                <w:rStyle w:val="Hyperlink"/>
                <w:noProof/>
                <w:webHidden/>
                <w:sz w:val="22"/>
              </w:rPr>
              <w:fldChar w:fldCharType="end"/>
            </w:r>
          </w:hyperlink>
        </w:p>
        <w:p w14:paraId="471AF398" w14:textId="0928D774" w:rsidR="00CB3FDD" w:rsidRPr="00CB3FDD" w:rsidRDefault="00CD204B" w:rsidP="00CB3FDD">
          <w:pPr>
            <w:pStyle w:val="Verzeichnis2"/>
            <w:rPr>
              <w:rFonts w:asciiTheme="minorHAnsi" w:eastAsiaTheme="minorEastAsia" w:hAnsiTheme="minorHAnsi" w:cstheme="minorBidi"/>
              <w:sz w:val="22"/>
              <w:lang w:eastAsia="de-CH"/>
            </w:rPr>
          </w:pPr>
          <w:hyperlink r:id="rId36" w:anchor="_Toc161749164" w:history="1">
            <w:r w:rsidR="00CB3FDD" w:rsidRPr="00CB3FDD">
              <w:rPr>
                <w:rStyle w:val="Hyperlink"/>
                <w:sz w:val="22"/>
              </w:rPr>
              <w:t>6.3</w:t>
            </w:r>
            <w:r w:rsidR="00CB3FDD" w:rsidRPr="00CB3FDD">
              <w:rPr>
                <w:rStyle w:val="Hyperlink"/>
                <w:rFonts w:asciiTheme="minorHAnsi" w:eastAsiaTheme="minorEastAsia" w:hAnsiTheme="minorHAnsi" w:cstheme="minorBidi"/>
                <w:sz w:val="22"/>
                <w:lang w:eastAsia="de-CH"/>
              </w:rPr>
              <w:tab/>
            </w:r>
            <w:r w:rsidR="00CB3FDD" w:rsidRPr="00CB3FDD">
              <w:rPr>
                <w:rStyle w:val="Hyperlink"/>
                <w:sz w:val="22"/>
              </w:rPr>
              <w:t>Institutionelle Verankerung und Ressourcen des EBGB</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_Toc161749164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24</w:t>
            </w:r>
            <w:r w:rsidR="00CB3FDD" w:rsidRPr="00CB3FDD">
              <w:rPr>
                <w:rStyle w:val="Hyperlink"/>
                <w:webHidden/>
                <w:sz w:val="22"/>
              </w:rPr>
              <w:fldChar w:fldCharType="end"/>
            </w:r>
          </w:hyperlink>
        </w:p>
        <w:p w14:paraId="6FFFF8B1" w14:textId="2A8C2B23" w:rsidR="00CB3FDD" w:rsidRPr="00CB3FDD" w:rsidRDefault="00CD204B" w:rsidP="00CB3FDD">
          <w:pPr>
            <w:pStyle w:val="Verzeichnis1"/>
            <w:rPr>
              <w:rFonts w:asciiTheme="minorHAnsi" w:eastAsiaTheme="minorEastAsia" w:hAnsiTheme="minorHAnsi" w:cstheme="minorBidi"/>
              <w:b w:val="0"/>
              <w:noProof/>
              <w:sz w:val="22"/>
              <w:lang w:eastAsia="de-CH"/>
            </w:rPr>
          </w:pPr>
          <w:hyperlink r:id="rId37" w:anchor="_Toc161749165" w:history="1">
            <w:r w:rsidR="00CB3FDD" w:rsidRPr="00CB3FDD">
              <w:rPr>
                <w:rStyle w:val="Hyperlink"/>
                <w:noProof/>
                <w:sz w:val="22"/>
              </w:rPr>
              <w:t>7.</w:t>
            </w:r>
            <w:r w:rsidR="00CB3FDD" w:rsidRPr="00CB3FDD">
              <w:rPr>
                <w:rStyle w:val="Hyperlink"/>
                <w:rFonts w:asciiTheme="minorHAnsi" w:eastAsiaTheme="minorEastAsia" w:hAnsiTheme="minorHAnsi" w:cstheme="minorBidi"/>
                <w:b w:val="0"/>
                <w:noProof/>
                <w:sz w:val="22"/>
                <w:lang w:eastAsia="de-CH"/>
              </w:rPr>
              <w:tab/>
            </w:r>
            <w:r w:rsidR="00CB3FDD" w:rsidRPr="00CB3FDD">
              <w:rPr>
                <w:rStyle w:val="Hyperlink"/>
                <w:noProof/>
                <w:sz w:val="22"/>
              </w:rPr>
              <w:t>Kurzbemerkungen zu den einzelnen Bestimmungen des VE-BehiG</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_Toc161749165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25</w:t>
            </w:r>
            <w:r w:rsidR="00CB3FDD" w:rsidRPr="00CB3FDD">
              <w:rPr>
                <w:rStyle w:val="Hyperlink"/>
                <w:noProof/>
                <w:webHidden/>
                <w:sz w:val="22"/>
              </w:rPr>
              <w:fldChar w:fldCharType="end"/>
            </w:r>
          </w:hyperlink>
        </w:p>
        <w:p w14:paraId="49F4936A" w14:textId="150C828F" w:rsidR="00CB3FDD" w:rsidRPr="00CB3FDD" w:rsidRDefault="00CD204B" w:rsidP="00CB3FDD">
          <w:pPr>
            <w:pStyle w:val="Verzeichnis2"/>
            <w:rPr>
              <w:rFonts w:asciiTheme="minorHAnsi" w:eastAsiaTheme="minorEastAsia" w:hAnsiTheme="minorHAnsi" w:cstheme="minorBidi"/>
              <w:sz w:val="22"/>
              <w:lang w:eastAsia="de-CH"/>
            </w:rPr>
          </w:pPr>
          <w:hyperlink r:id="rId38" w:anchor="_Toc161749166" w:history="1">
            <w:r w:rsidR="00CB3FDD" w:rsidRPr="00CB3FDD">
              <w:rPr>
                <w:rStyle w:val="Hyperlink"/>
                <w:sz w:val="22"/>
              </w:rPr>
              <w:t>Artikel 1, Absatz 2</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_Toc161749166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25</w:t>
            </w:r>
            <w:r w:rsidR="00CB3FDD" w:rsidRPr="00CB3FDD">
              <w:rPr>
                <w:rStyle w:val="Hyperlink"/>
                <w:webHidden/>
                <w:sz w:val="22"/>
              </w:rPr>
              <w:fldChar w:fldCharType="end"/>
            </w:r>
          </w:hyperlink>
        </w:p>
        <w:p w14:paraId="46C81FC0" w14:textId="4AC498C8" w:rsidR="00CB3FDD" w:rsidRPr="00CB3FDD" w:rsidRDefault="00CD204B" w:rsidP="00CB3FDD">
          <w:pPr>
            <w:pStyle w:val="Verzeichnis2"/>
            <w:rPr>
              <w:rFonts w:asciiTheme="minorHAnsi" w:eastAsiaTheme="minorEastAsia" w:hAnsiTheme="minorHAnsi" w:cstheme="minorBidi"/>
              <w:sz w:val="22"/>
              <w:lang w:eastAsia="de-CH"/>
            </w:rPr>
          </w:pPr>
          <w:hyperlink r:id="rId39" w:anchor="_Toc161749167" w:history="1">
            <w:r w:rsidR="00CB3FDD" w:rsidRPr="00CB3FDD">
              <w:rPr>
                <w:rStyle w:val="Hyperlink"/>
                <w:sz w:val="22"/>
              </w:rPr>
              <w:t>Artikel 2</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_Toc161749167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27</w:t>
            </w:r>
            <w:r w:rsidR="00CB3FDD" w:rsidRPr="00CB3FDD">
              <w:rPr>
                <w:rStyle w:val="Hyperlink"/>
                <w:webHidden/>
                <w:sz w:val="22"/>
              </w:rPr>
              <w:fldChar w:fldCharType="end"/>
            </w:r>
          </w:hyperlink>
        </w:p>
        <w:p w14:paraId="0676E537" w14:textId="18479AF6" w:rsidR="00CB3FDD" w:rsidRPr="00CB3FDD" w:rsidRDefault="00CD204B" w:rsidP="00CB3FDD">
          <w:pPr>
            <w:pStyle w:val="Verzeichnis3"/>
            <w:rPr>
              <w:rFonts w:asciiTheme="minorHAnsi" w:eastAsiaTheme="minorEastAsia" w:hAnsiTheme="minorHAnsi" w:cstheme="minorBidi"/>
              <w:i w:val="0"/>
              <w:noProof/>
              <w:sz w:val="22"/>
              <w:lang w:eastAsia="de-CH"/>
            </w:rPr>
          </w:pPr>
          <w:hyperlink r:id="rId40" w:anchor="_Toc161749168" w:history="1">
            <w:r w:rsidR="00CB3FDD" w:rsidRPr="00CB3FDD">
              <w:rPr>
                <w:rStyle w:val="Hyperlink"/>
                <w:noProof/>
                <w:sz w:val="22"/>
              </w:rPr>
              <w:t>Absatz 1</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_Toc161749168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27</w:t>
            </w:r>
            <w:r w:rsidR="00CB3FDD" w:rsidRPr="00CB3FDD">
              <w:rPr>
                <w:rStyle w:val="Hyperlink"/>
                <w:noProof/>
                <w:webHidden/>
                <w:sz w:val="22"/>
              </w:rPr>
              <w:fldChar w:fldCharType="end"/>
            </w:r>
          </w:hyperlink>
        </w:p>
        <w:p w14:paraId="1A442801" w14:textId="2E833B96" w:rsidR="00CB3FDD" w:rsidRPr="00CB3FDD" w:rsidRDefault="00CD204B" w:rsidP="00CB3FDD">
          <w:pPr>
            <w:pStyle w:val="Verzeichnis3"/>
            <w:rPr>
              <w:rFonts w:asciiTheme="minorHAnsi" w:eastAsiaTheme="minorEastAsia" w:hAnsiTheme="minorHAnsi" w:cstheme="minorBidi"/>
              <w:i w:val="0"/>
              <w:noProof/>
              <w:sz w:val="22"/>
              <w:lang w:eastAsia="de-CH"/>
            </w:rPr>
          </w:pPr>
          <w:hyperlink r:id="rId41" w:anchor="_Toc161749169" w:history="1">
            <w:r w:rsidR="00CB3FDD" w:rsidRPr="00CB3FDD">
              <w:rPr>
                <w:rStyle w:val="Hyperlink"/>
                <w:noProof/>
                <w:sz w:val="22"/>
              </w:rPr>
              <w:t>Absatz 6</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_Toc161749169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29</w:t>
            </w:r>
            <w:r w:rsidR="00CB3FDD" w:rsidRPr="00CB3FDD">
              <w:rPr>
                <w:rStyle w:val="Hyperlink"/>
                <w:noProof/>
                <w:webHidden/>
                <w:sz w:val="22"/>
              </w:rPr>
              <w:fldChar w:fldCharType="end"/>
            </w:r>
          </w:hyperlink>
        </w:p>
        <w:p w14:paraId="43BF6A9B" w14:textId="1E1152D1" w:rsidR="00CB3FDD" w:rsidRPr="00CB3FDD" w:rsidRDefault="00CD204B" w:rsidP="00CB3FDD">
          <w:pPr>
            <w:pStyle w:val="Verzeichnis2"/>
            <w:rPr>
              <w:rFonts w:asciiTheme="minorHAnsi" w:eastAsiaTheme="minorEastAsia" w:hAnsiTheme="minorHAnsi" w:cstheme="minorBidi"/>
              <w:sz w:val="22"/>
              <w:lang w:eastAsia="de-CH"/>
            </w:rPr>
          </w:pPr>
          <w:hyperlink r:id="rId42" w:anchor="_Toc161749170" w:history="1">
            <w:r w:rsidR="00CB3FDD" w:rsidRPr="00CB3FDD">
              <w:rPr>
                <w:rStyle w:val="Hyperlink"/>
                <w:sz w:val="22"/>
              </w:rPr>
              <w:t>Artikel 3, Bst. g</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_Toc161749170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30</w:t>
            </w:r>
            <w:r w:rsidR="00CB3FDD" w:rsidRPr="00CB3FDD">
              <w:rPr>
                <w:rStyle w:val="Hyperlink"/>
                <w:webHidden/>
                <w:sz w:val="22"/>
              </w:rPr>
              <w:fldChar w:fldCharType="end"/>
            </w:r>
          </w:hyperlink>
        </w:p>
        <w:p w14:paraId="216997A6" w14:textId="1959CD4B" w:rsidR="00CB3FDD" w:rsidRPr="00CB3FDD" w:rsidRDefault="00CD204B" w:rsidP="00CB3FDD">
          <w:pPr>
            <w:pStyle w:val="Verzeichnis2"/>
            <w:rPr>
              <w:rFonts w:asciiTheme="minorHAnsi" w:eastAsiaTheme="minorEastAsia" w:hAnsiTheme="minorHAnsi" w:cstheme="minorBidi"/>
              <w:sz w:val="22"/>
              <w:lang w:eastAsia="de-CH"/>
            </w:rPr>
          </w:pPr>
          <w:hyperlink r:id="rId43" w:anchor="_Toc161749171" w:history="1">
            <w:r w:rsidR="00CB3FDD" w:rsidRPr="00CB3FDD">
              <w:rPr>
                <w:rStyle w:val="Hyperlink"/>
                <w:sz w:val="22"/>
              </w:rPr>
              <w:t>Artikel 5</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_Toc161749171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31</w:t>
            </w:r>
            <w:r w:rsidR="00CB3FDD" w:rsidRPr="00CB3FDD">
              <w:rPr>
                <w:rStyle w:val="Hyperlink"/>
                <w:webHidden/>
                <w:sz w:val="22"/>
              </w:rPr>
              <w:fldChar w:fldCharType="end"/>
            </w:r>
          </w:hyperlink>
        </w:p>
        <w:p w14:paraId="6AEB7EE3" w14:textId="2BB6BD71" w:rsidR="00CB3FDD" w:rsidRPr="00CB3FDD" w:rsidRDefault="00CD204B" w:rsidP="00CB3FDD">
          <w:pPr>
            <w:pStyle w:val="Verzeichnis3"/>
            <w:rPr>
              <w:rFonts w:asciiTheme="minorHAnsi" w:eastAsiaTheme="minorEastAsia" w:hAnsiTheme="minorHAnsi" w:cstheme="minorBidi"/>
              <w:i w:val="0"/>
              <w:noProof/>
              <w:sz w:val="22"/>
              <w:lang w:eastAsia="de-CH"/>
            </w:rPr>
          </w:pPr>
          <w:hyperlink r:id="rId44" w:anchor="_Toc161749172" w:history="1">
            <w:r w:rsidR="00CB3FDD" w:rsidRPr="00CB3FDD">
              <w:rPr>
                <w:rStyle w:val="Hyperlink"/>
                <w:noProof/>
                <w:sz w:val="22"/>
              </w:rPr>
              <w:t>Absatz 1</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_Toc161749172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31</w:t>
            </w:r>
            <w:r w:rsidR="00CB3FDD" w:rsidRPr="00CB3FDD">
              <w:rPr>
                <w:rStyle w:val="Hyperlink"/>
                <w:noProof/>
                <w:webHidden/>
                <w:sz w:val="22"/>
              </w:rPr>
              <w:fldChar w:fldCharType="end"/>
            </w:r>
          </w:hyperlink>
        </w:p>
        <w:p w14:paraId="676FC485" w14:textId="203E034B" w:rsidR="00CB3FDD" w:rsidRPr="00CB3FDD" w:rsidRDefault="00CD204B" w:rsidP="00CB3FDD">
          <w:pPr>
            <w:pStyle w:val="Verzeichnis3"/>
            <w:rPr>
              <w:rFonts w:asciiTheme="minorHAnsi" w:eastAsiaTheme="minorEastAsia" w:hAnsiTheme="minorHAnsi" w:cstheme="minorBidi"/>
              <w:i w:val="0"/>
              <w:noProof/>
              <w:sz w:val="22"/>
              <w:lang w:eastAsia="de-CH"/>
            </w:rPr>
          </w:pPr>
          <w:hyperlink r:id="rId45" w:anchor="_Toc161749173" w:history="1">
            <w:r w:rsidR="00CB3FDD" w:rsidRPr="00CB3FDD">
              <w:rPr>
                <w:rStyle w:val="Hyperlink"/>
                <w:noProof/>
                <w:sz w:val="22"/>
              </w:rPr>
              <w:t>Absatz 1bis</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_Toc161749173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32</w:t>
            </w:r>
            <w:r w:rsidR="00CB3FDD" w:rsidRPr="00CB3FDD">
              <w:rPr>
                <w:rStyle w:val="Hyperlink"/>
                <w:noProof/>
                <w:webHidden/>
                <w:sz w:val="22"/>
              </w:rPr>
              <w:fldChar w:fldCharType="end"/>
            </w:r>
          </w:hyperlink>
        </w:p>
        <w:p w14:paraId="45D31E79" w14:textId="5B2A9EC9" w:rsidR="00CB3FDD" w:rsidRPr="00CB3FDD" w:rsidRDefault="00CD204B" w:rsidP="00CB3FDD">
          <w:pPr>
            <w:pStyle w:val="Verzeichnis2"/>
            <w:rPr>
              <w:rFonts w:asciiTheme="minorHAnsi" w:eastAsiaTheme="minorEastAsia" w:hAnsiTheme="minorHAnsi" w:cstheme="minorBidi"/>
              <w:sz w:val="22"/>
              <w:lang w:eastAsia="de-CH"/>
            </w:rPr>
          </w:pPr>
          <w:hyperlink r:id="rId46" w:anchor="_Toc161749174" w:history="1">
            <w:r w:rsidR="00CB3FDD" w:rsidRPr="00CB3FDD">
              <w:rPr>
                <w:rStyle w:val="Hyperlink"/>
                <w:sz w:val="22"/>
              </w:rPr>
              <w:t>Artikel 6</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_Toc161749174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33</w:t>
            </w:r>
            <w:r w:rsidR="00CB3FDD" w:rsidRPr="00CB3FDD">
              <w:rPr>
                <w:rStyle w:val="Hyperlink"/>
                <w:webHidden/>
                <w:sz w:val="22"/>
              </w:rPr>
              <w:fldChar w:fldCharType="end"/>
            </w:r>
          </w:hyperlink>
        </w:p>
        <w:p w14:paraId="4F44E0F9" w14:textId="49036097" w:rsidR="00CB3FDD" w:rsidRPr="00CB3FDD" w:rsidRDefault="00CD204B" w:rsidP="00CB3FDD">
          <w:pPr>
            <w:pStyle w:val="Verzeichnis3"/>
            <w:rPr>
              <w:rFonts w:asciiTheme="minorHAnsi" w:eastAsiaTheme="minorEastAsia" w:hAnsiTheme="minorHAnsi" w:cstheme="minorBidi"/>
              <w:i w:val="0"/>
              <w:noProof/>
              <w:sz w:val="22"/>
              <w:lang w:eastAsia="de-CH"/>
            </w:rPr>
          </w:pPr>
          <w:hyperlink r:id="rId47" w:anchor="_Toc161749175" w:history="1">
            <w:r w:rsidR="00CB3FDD" w:rsidRPr="00CB3FDD">
              <w:rPr>
                <w:rStyle w:val="Hyperlink"/>
                <w:noProof/>
                <w:sz w:val="22"/>
              </w:rPr>
              <w:t>Absatz 1</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_Toc161749175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33</w:t>
            </w:r>
            <w:r w:rsidR="00CB3FDD" w:rsidRPr="00CB3FDD">
              <w:rPr>
                <w:rStyle w:val="Hyperlink"/>
                <w:noProof/>
                <w:webHidden/>
                <w:sz w:val="22"/>
              </w:rPr>
              <w:fldChar w:fldCharType="end"/>
            </w:r>
          </w:hyperlink>
        </w:p>
        <w:p w14:paraId="20778235" w14:textId="2FB54D6B" w:rsidR="00CB3FDD" w:rsidRPr="00CB3FDD" w:rsidRDefault="00CD204B" w:rsidP="00CB3FDD">
          <w:pPr>
            <w:pStyle w:val="Verzeichnis3"/>
            <w:rPr>
              <w:rFonts w:asciiTheme="minorHAnsi" w:eastAsiaTheme="minorEastAsia" w:hAnsiTheme="minorHAnsi" w:cstheme="minorBidi"/>
              <w:i w:val="0"/>
              <w:noProof/>
              <w:sz w:val="22"/>
              <w:lang w:eastAsia="de-CH"/>
            </w:rPr>
          </w:pPr>
          <w:hyperlink r:id="rId48" w:anchor="_Toc161749176" w:history="1">
            <w:r w:rsidR="00CB3FDD" w:rsidRPr="00CB3FDD">
              <w:rPr>
                <w:rStyle w:val="Hyperlink"/>
                <w:noProof/>
                <w:sz w:val="22"/>
              </w:rPr>
              <w:t>Absatz 2</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_Toc161749176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33</w:t>
            </w:r>
            <w:r w:rsidR="00CB3FDD" w:rsidRPr="00CB3FDD">
              <w:rPr>
                <w:rStyle w:val="Hyperlink"/>
                <w:noProof/>
                <w:webHidden/>
                <w:sz w:val="22"/>
              </w:rPr>
              <w:fldChar w:fldCharType="end"/>
            </w:r>
          </w:hyperlink>
        </w:p>
        <w:p w14:paraId="23CAE540" w14:textId="004DA7D4" w:rsidR="00CB3FDD" w:rsidRPr="00CB3FDD" w:rsidRDefault="00CD204B" w:rsidP="00CB3FDD">
          <w:pPr>
            <w:pStyle w:val="Verzeichnis3"/>
            <w:rPr>
              <w:rFonts w:asciiTheme="minorHAnsi" w:eastAsiaTheme="minorEastAsia" w:hAnsiTheme="minorHAnsi" w:cstheme="minorBidi"/>
              <w:i w:val="0"/>
              <w:noProof/>
              <w:sz w:val="22"/>
              <w:lang w:eastAsia="de-CH"/>
            </w:rPr>
          </w:pPr>
          <w:hyperlink r:id="rId49" w:anchor="_Toc161749177" w:history="1">
            <w:r w:rsidR="00CB3FDD" w:rsidRPr="00CB3FDD">
              <w:rPr>
                <w:rStyle w:val="Hyperlink"/>
                <w:noProof/>
                <w:sz w:val="22"/>
              </w:rPr>
              <w:t>Absatz 3</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_Toc161749177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33</w:t>
            </w:r>
            <w:r w:rsidR="00CB3FDD" w:rsidRPr="00CB3FDD">
              <w:rPr>
                <w:rStyle w:val="Hyperlink"/>
                <w:noProof/>
                <w:webHidden/>
                <w:sz w:val="22"/>
              </w:rPr>
              <w:fldChar w:fldCharType="end"/>
            </w:r>
          </w:hyperlink>
        </w:p>
        <w:p w14:paraId="39C9925B" w14:textId="3D7A3489" w:rsidR="00CB3FDD" w:rsidRPr="00CB3FDD" w:rsidRDefault="00CD204B" w:rsidP="00CB3FDD">
          <w:pPr>
            <w:pStyle w:val="Verzeichnis2"/>
            <w:rPr>
              <w:rFonts w:asciiTheme="minorHAnsi" w:eastAsiaTheme="minorEastAsia" w:hAnsiTheme="minorHAnsi" w:cstheme="minorBidi"/>
              <w:sz w:val="22"/>
              <w:lang w:eastAsia="de-CH"/>
            </w:rPr>
          </w:pPr>
          <w:hyperlink r:id="rId50" w:anchor="_Toc161749178" w:history="1">
            <w:r w:rsidR="00CB3FDD" w:rsidRPr="00CB3FDD">
              <w:rPr>
                <w:rStyle w:val="Hyperlink"/>
                <w:sz w:val="22"/>
              </w:rPr>
              <w:t>Artikel 6a</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_Toc161749178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34</w:t>
            </w:r>
            <w:r w:rsidR="00CB3FDD" w:rsidRPr="00CB3FDD">
              <w:rPr>
                <w:rStyle w:val="Hyperlink"/>
                <w:webHidden/>
                <w:sz w:val="22"/>
              </w:rPr>
              <w:fldChar w:fldCharType="end"/>
            </w:r>
          </w:hyperlink>
        </w:p>
        <w:p w14:paraId="05007931" w14:textId="3285D46A" w:rsidR="00CB3FDD" w:rsidRPr="00CB3FDD" w:rsidRDefault="00CD204B" w:rsidP="00CB3FDD">
          <w:pPr>
            <w:pStyle w:val="Verzeichnis3"/>
            <w:rPr>
              <w:rFonts w:asciiTheme="minorHAnsi" w:eastAsiaTheme="minorEastAsia" w:hAnsiTheme="minorHAnsi" w:cstheme="minorBidi"/>
              <w:i w:val="0"/>
              <w:noProof/>
              <w:sz w:val="22"/>
              <w:lang w:eastAsia="de-CH"/>
            </w:rPr>
          </w:pPr>
          <w:hyperlink r:id="rId51" w:anchor="_Toc161749179" w:history="1">
            <w:r w:rsidR="00CB3FDD" w:rsidRPr="00CB3FDD">
              <w:rPr>
                <w:rStyle w:val="Hyperlink"/>
                <w:noProof/>
                <w:sz w:val="22"/>
              </w:rPr>
              <w:t>Absatz 1</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_Toc161749179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34</w:t>
            </w:r>
            <w:r w:rsidR="00CB3FDD" w:rsidRPr="00CB3FDD">
              <w:rPr>
                <w:rStyle w:val="Hyperlink"/>
                <w:noProof/>
                <w:webHidden/>
                <w:sz w:val="22"/>
              </w:rPr>
              <w:fldChar w:fldCharType="end"/>
            </w:r>
          </w:hyperlink>
        </w:p>
        <w:p w14:paraId="7E35EEE4" w14:textId="5E011CE1" w:rsidR="00CB3FDD" w:rsidRPr="00CB3FDD" w:rsidRDefault="00CD204B" w:rsidP="00CB3FDD">
          <w:pPr>
            <w:pStyle w:val="Verzeichnis3"/>
            <w:rPr>
              <w:rFonts w:asciiTheme="minorHAnsi" w:eastAsiaTheme="minorEastAsia" w:hAnsiTheme="minorHAnsi" w:cstheme="minorBidi"/>
              <w:i w:val="0"/>
              <w:noProof/>
              <w:sz w:val="22"/>
              <w:lang w:eastAsia="de-CH"/>
            </w:rPr>
          </w:pPr>
          <w:hyperlink r:id="rId52" w:anchor="_Toc161749180" w:history="1">
            <w:r w:rsidR="00CB3FDD" w:rsidRPr="00CB3FDD">
              <w:rPr>
                <w:rStyle w:val="Hyperlink"/>
                <w:noProof/>
                <w:sz w:val="22"/>
              </w:rPr>
              <w:t>Absatz 2</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_Toc161749180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34</w:t>
            </w:r>
            <w:r w:rsidR="00CB3FDD" w:rsidRPr="00CB3FDD">
              <w:rPr>
                <w:rStyle w:val="Hyperlink"/>
                <w:noProof/>
                <w:webHidden/>
                <w:sz w:val="22"/>
              </w:rPr>
              <w:fldChar w:fldCharType="end"/>
            </w:r>
          </w:hyperlink>
        </w:p>
        <w:p w14:paraId="761A9377" w14:textId="6D6E76C6" w:rsidR="00CB3FDD" w:rsidRPr="00CB3FDD" w:rsidRDefault="00CD204B" w:rsidP="00CB3FDD">
          <w:pPr>
            <w:pStyle w:val="Verzeichnis2"/>
            <w:rPr>
              <w:rFonts w:asciiTheme="minorHAnsi" w:eastAsiaTheme="minorEastAsia" w:hAnsiTheme="minorHAnsi" w:cstheme="minorBidi"/>
              <w:sz w:val="22"/>
              <w:lang w:eastAsia="de-CH"/>
            </w:rPr>
          </w:pPr>
          <w:hyperlink r:id="rId53" w:anchor="_Toc161749181" w:history="1">
            <w:r w:rsidR="00CB3FDD" w:rsidRPr="00CB3FDD">
              <w:rPr>
                <w:rStyle w:val="Hyperlink"/>
                <w:sz w:val="22"/>
              </w:rPr>
              <w:t>Artikel 8</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_Toc161749181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34</w:t>
            </w:r>
            <w:r w:rsidR="00CB3FDD" w:rsidRPr="00CB3FDD">
              <w:rPr>
                <w:rStyle w:val="Hyperlink"/>
                <w:webHidden/>
                <w:sz w:val="22"/>
              </w:rPr>
              <w:fldChar w:fldCharType="end"/>
            </w:r>
          </w:hyperlink>
        </w:p>
        <w:p w14:paraId="74983922" w14:textId="50779D2B" w:rsidR="00CB3FDD" w:rsidRPr="00CB3FDD" w:rsidRDefault="00CD204B" w:rsidP="00CB3FDD">
          <w:pPr>
            <w:pStyle w:val="Verzeichnis3"/>
            <w:rPr>
              <w:rFonts w:asciiTheme="minorHAnsi" w:eastAsiaTheme="minorEastAsia" w:hAnsiTheme="minorHAnsi" w:cstheme="minorBidi"/>
              <w:i w:val="0"/>
              <w:noProof/>
              <w:sz w:val="22"/>
              <w:lang w:eastAsia="de-CH"/>
            </w:rPr>
          </w:pPr>
          <w:hyperlink r:id="rId54" w:anchor="_Toc161749182" w:history="1">
            <w:r w:rsidR="00CB3FDD" w:rsidRPr="00CB3FDD">
              <w:rPr>
                <w:rStyle w:val="Hyperlink"/>
                <w:noProof/>
                <w:sz w:val="22"/>
              </w:rPr>
              <w:t>Absatz 3 und Absatz 4</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_Toc161749182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34</w:t>
            </w:r>
            <w:r w:rsidR="00CB3FDD" w:rsidRPr="00CB3FDD">
              <w:rPr>
                <w:rStyle w:val="Hyperlink"/>
                <w:noProof/>
                <w:webHidden/>
                <w:sz w:val="22"/>
              </w:rPr>
              <w:fldChar w:fldCharType="end"/>
            </w:r>
          </w:hyperlink>
        </w:p>
        <w:p w14:paraId="0ED4C5C4" w14:textId="70188D63" w:rsidR="00CB3FDD" w:rsidRPr="00CB3FDD" w:rsidRDefault="00CD204B" w:rsidP="00CB3FDD">
          <w:pPr>
            <w:pStyle w:val="Verzeichnis2"/>
            <w:rPr>
              <w:rFonts w:asciiTheme="minorHAnsi" w:eastAsiaTheme="minorEastAsia" w:hAnsiTheme="minorHAnsi" w:cstheme="minorBidi"/>
              <w:sz w:val="22"/>
              <w:lang w:eastAsia="de-CH"/>
            </w:rPr>
          </w:pPr>
          <w:hyperlink r:id="rId55" w:anchor="_Toc161749183" w:history="1">
            <w:r w:rsidR="00CB3FDD" w:rsidRPr="00CB3FDD">
              <w:rPr>
                <w:rStyle w:val="Hyperlink"/>
                <w:sz w:val="22"/>
              </w:rPr>
              <w:t>Artikel 8a</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_Toc161749183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34</w:t>
            </w:r>
            <w:r w:rsidR="00CB3FDD" w:rsidRPr="00CB3FDD">
              <w:rPr>
                <w:rStyle w:val="Hyperlink"/>
                <w:webHidden/>
                <w:sz w:val="22"/>
              </w:rPr>
              <w:fldChar w:fldCharType="end"/>
            </w:r>
          </w:hyperlink>
        </w:p>
        <w:p w14:paraId="13B39FC9" w14:textId="6AF22633" w:rsidR="00CB3FDD" w:rsidRPr="00CB3FDD" w:rsidRDefault="00CD204B" w:rsidP="00CB3FDD">
          <w:pPr>
            <w:pStyle w:val="Verzeichnis3"/>
            <w:rPr>
              <w:rFonts w:asciiTheme="minorHAnsi" w:eastAsiaTheme="minorEastAsia" w:hAnsiTheme="minorHAnsi" w:cstheme="minorBidi"/>
              <w:i w:val="0"/>
              <w:noProof/>
              <w:sz w:val="22"/>
              <w:lang w:eastAsia="de-CH"/>
            </w:rPr>
          </w:pPr>
          <w:hyperlink r:id="rId56" w:anchor="_Toc161749184" w:history="1">
            <w:r w:rsidR="00CB3FDD" w:rsidRPr="00CB3FDD">
              <w:rPr>
                <w:rStyle w:val="Hyperlink"/>
                <w:noProof/>
                <w:sz w:val="22"/>
              </w:rPr>
              <w:t>Absatz 1</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_Toc161749184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34</w:t>
            </w:r>
            <w:r w:rsidR="00CB3FDD" w:rsidRPr="00CB3FDD">
              <w:rPr>
                <w:rStyle w:val="Hyperlink"/>
                <w:noProof/>
                <w:webHidden/>
                <w:sz w:val="22"/>
              </w:rPr>
              <w:fldChar w:fldCharType="end"/>
            </w:r>
          </w:hyperlink>
        </w:p>
        <w:p w14:paraId="6D05A29B" w14:textId="15997673" w:rsidR="00CB3FDD" w:rsidRPr="00CB3FDD" w:rsidRDefault="00CD204B" w:rsidP="00CB3FDD">
          <w:pPr>
            <w:pStyle w:val="Verzeichnis3"/>
            <w:rPr>
              <w:rFonts w:asciiTheme="minorHAnsi" w:eastAsiaTheme="minorEastAsia" w:hAnsiTheme="minorHAnsi" w:cstheme="minorBidi"/>
              <w:i w:val="0"/>
              <w:noProof/>
              <w:sz w:val="22"/>
              <w:lang w:eastAsia="de-CH"/>
            </w:rPr>
          </w:pPr>
          <w:hyperlink r:id="rId57" w:anchor="_Toc161749185" w:history="1">
            <w:r w:rsidR="00CB3FDD" w:rsidRPr="00CB3FDD">
              <w:rPr>
                <w:rStyle w:val="Hyperlink"/>
                <w:noProof/>
                <w:sz w:val="22"/>
              </w:rPr>
              <w:t>Absatz 2</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_Toc161749185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34</w:t>
            </w:r>
            <w:r w:rsidR="00CB3FDD" w:rsidRPr="00CB3FDD">
              <w:rPr>
                <w:rStyle w:val="Hyperlink"/>
                <w:noProof/>
                <w:webHidden/>
                <w:sz w:val="22"/>
              </w:rPr>
              <w:fldChar w:fldCharType="end"/>
            </w:r>
          </w:hyperlink>
        </w:p>
        <w:p w14:paraId="0C3C042E" w14:textId="3209286A" w:rsidR="00CB3FDD" w:rsidRPr="00CB3FDD" w:rsidRDefault="00CD204B" w:rsidP="00CB3FDD">
          <w:pPr>
            <w:pStyle w:val="Verzeichnis3"/>
            <w:rPr>
              <w:rFonts w:asciiTheme="minorHAnsi" w:eastAsiaTheme="minorEastAsia" w:hAnsiTheme="minorHAnsi" w:cstheme="minorBidi"/>
              <w:i w:val="0"/>
              <w:noProof/>
              <w:sz w:val="22"/>
              <w:lang w:eastAsia="de-CH"/>
            </w:rPr>
          </w:pPr>
          <w:hyperlink r:id="rId58" w:anchor="_Toc161749186" w:history="1">
            <w:r w:rsidR="00CB3FDD" w:rsidRPr="00CB3FDD">
              <w:rPr>
                <w:rStyle w:val="Hyperlink"/>
                <w:noProof/>
                <w:sz w:val="22"/>
              </w:rPr>
              <w:t>Absatz 4</w:t>
            </w:r>
            <w:r w:rsidR="00CB3FDD" w:rsidRPr="00CB3FDD">
              <w:rPr>
                <w:rStyle w:val="Hyperlink"/>
                <w:noProof/>
                <w:webHidden/>
                <w:sz w:val="22"/>
              </w:rPr>
              <w:tab/>
            </w:r>
            <w:r w:rsidR="00CB3FDD" w:rsidRPr="00CB3FDD">
              <w:rPr>
                <w:rStyle w:val="Hyperlink"/>
                <w:noProof/>
                <w:webHidden/>
                <w:sz w:val="22"/>
              </w:rPr>
              <w:fldChar w:fldCharType="begin"/>
            </w:r>
            <w:r w:rsidR="00CB3FDD" w:rsidRPr="00CB3FDD">
              <w:rPr>
                <w:rStyle w:val="Hyperlink"/>
                <w:noProof/>
                <w:webHidden/>
                <w:sz w:val="22"/>
              </w:rPr>
              <w:instrText xml:space="preserve"> PAGEREF _Toc161749186 \h </w:instrText>
            </w:r>
            <w:r w:rsidR="00CB3FDD" w:rsidRPr="00CB3FDD">
              <w:rPr>
                <w:rStyle w:val="Hyperlink"/>
                <w:noProof/>
                <w:webHidden/>
                <w:sz w:val="22"/>
              </w:rPr>
            </w:r>
            <w:r w:rsidR="00CB3FDD" w:rsidRPr="00CB3FDD">
              <w:rPr>
                <w:rStyle w:val="Hyperlink"/>
                <w:noProof/>
                <w:webHidden/>
                <w:sz w:val="22"/>
              </w:rPr>
              <w:fldChar w:fldCharType="separate"/>
            </w:r>
            <w:r w:rsidR="00663FF0">
              <w:rPr>
                <w:rStyle w:val="Hyperlink"/>
                <w:noProof/>
                <w:webHidden/>
                <w:sz w:val="22"/>
              </w:rPr>
              <w:t>34</w:t>
            </w:r>
            <w:r w:rsidR="00CB3FDD" w:rsidRPr="00CB3FDD">
              <w:rPr>
                <w:rStyle w:val="Hyperlink"/>
                <w:noProof/>
                <w:webHidden/>
                <w:sz w:val="22"/>
              </w:rPr>
              <w:fldChar w:fldCharType="end"/>
            </w:r>
          </w:hyperlink>
        </w:p>
        <w:p w14:paraId="75791387" w14:textId="1CB7B5AB" w:rsidR="00CB3FDD" w:rsidRPr="00CB3FDD" w:rsidRDefault="00CD204B" w:rsidP="00CB3FDD">
          <w:pPr>
            <w:pStyle w:val="Verzeichnis2"/>
            <w:rPr>
              <w:rFonts w:asciiTheme="minorHAnsi" w:eastAsiaTheme="minorEastAsia" w:hAnsiTheme="minorHAnsi" w:cstheme="minorBidi"/>
              <w:sz w:val="22"/>
              <w:lang w:eastAsia="de-CH"/>
            </w:rPr>
          </w:pPr>
          <w:hyperlink r:id="rId59" w:anchor="_Toc161749187" w:history="1">
            <w:r w:rsidR="00CB3FDD" w:rsidRPr="00CB3FDD">
              <w:rPr>
                <w:rStyle w:val="Hyperlink"/>
                <w:sz w:val="22"/>
              </w:rPr>
              <w:t>Artikel 9</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_Toc161749187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35</w:t>
            </w:r>
            <w:r w:rsidR="00CB3FDD" w:rsidRPr="00CB3FDD">
              <w:rPr>
                <w:rStyle w:val="Hyperlink"/>
                <w:webHidden/>
                <w:sz w:val="22"/>
              </w:rPr>
              <w:fldChar w:fldCharType="end"/>
            </w:r>
          </w:hyperlink>
        </w:p>
        <w:p w14:paraId="40EF1270" w14:textId="646A7346" w:rsidR="00CB3FDD" w:rsidRPr="00CB3FDD" w:rsidRDefault="00CD204B" w:rsidP="00CB3FDD">
          <w:pPr>
            <w:pStyle w:val="Verzeichnis2"/>
            <w:rPr>
              <w:rFonts w:asciiTheme="minorHAnsi" w:eastAsiaTheme="minorEastAsia" w:hAnsiTheme="minorHAnsi" w:cstheme="minorBidi"/>
              <w:sz w:val="22"/>
              <w:lang w:eastAsia="de-CH"/>
            </w:rPr>
          </w:pPr>
          <w:hyperlink r:id="rId60" w:anchor="_Toc161749188" w:history="1">
            <w:r w:rsidR="00CB3FDD" w:rsidRPr="00CB3FDD">
              <w:rPr>
                <w:rStyle w:val="Hyperlink"/>
                <w:sz w:val="22"/>
              </w:rPr>
              <w:t>Artikel 9b</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_Toc161749188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35</w:t>
            </w:r>
            <w:r w:rsidR="00CB3FDD" w:rsidRPr="00CB3FDD">
              <w:rPr>
                <w:rStyle w:val="Hyperlink"/>
                <w:webHidden/>
                <w:sz w:val="22"/>
              </w:rPr>
              <w:fldChar w:fldCharType="end"/>
            </w:r>
          </w:hyperlink>
        </w:p>
        <w:p w14:paraId="2EA317D9" w14:textId="25BD65D1" w:rsidR="00CB3FDD" w:rsidRPr="00CB3FDD" w:rsidRDefault="00CD204B" w:rsidP="00CB3FDD">
          <w:pPr>
            <w:pStyle w:val="Verzeichnis2"/>
            <w:rPr>
              <w:rFonts w:asciiTheme="minorHAnsi" w:eastAsiaTheme="minorEastAsia" w:hAnsiTheme="minorHAnsi" w:cstheme="minorBidi"/>
              <w:sz w:val="22"/>
              <w:lang w:eastAsia="de-CH"/>
            </w:rPr>
          </w:pPr>
          <w:hyperlink r:id="rId61" w:anchor="_Toc161749189" w:history="1">
            <w:r w:rsidR="00CB3FDD" w:rsidRPr="00CB3FDD">
              <w:rPr>
                <w:rStyle w:val="Hyperlink"/>
                <w:sz w:val="22"/>
              </w:rPr>
              <w:t>Artikel 12a</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_Toc161749189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35</w:t>
            </w:r>
            <w:r w:rsidR="00CB3FDD" w:rsidRPr="00CB3FDD">
              <w:rPr>
                <w:rStyle w:val="Hyperlink"/>
                <w:webHidden/>
                <w:sz w:val="22"/>
              </w:rPr>
              <w:fldChar w:fldCharType="end"/>
            </w:r>
          </w:hyperlink>
        </w:p>
        <w:p w14:paraId="41D6AC69" w14:textId="566D58F0" w:rsidR="00CB3FDD" w:rsidRPr="00CB3FDD" w:rsidRDefault="00CD204B" w:rsidP="00CB3FDD">
          <w:pPr>
            <w:pStyle w:val="Verzeichnis2"/>
            <w:rPr>
              <w:rFonts w:asciiTheme="minorHAnsi" w:eastAsiaTheme="minorEastAsia" w:hAnsiTheme="minorHAnsi" w:cstheme="minorBidi"/>
              <w:sz w:val="22"/>
              <w:lang w:eastAsia="de-CH"/>
            </w:rPr>
          </w:pPr>
          <w:hyperlink r:id="rId62" w:anchor="_Toc161749190" w:history="1">
            <w:r w:rsidR="00CB3FDD" w:rsidRPr="00CB3FDD">
              <w:rPr>
                <w:rStyle w:val="Hyperlink"/>
                <w:sz w:val="22"/>
              </w:rPr>
              <w:t>Artikel 12b-12c sowie Änderung Sprachengesetz gemäss II</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_Toc161749190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35</w:t>
            </w:r>
            <w:r w:rsidR="00CB3FDD" w:rsidRPr="00CB3FDD">
              <w:rPr>
                <w:rStyle w:val="Hyperlink"/>
                <w:webHidden/>
                <w:sz w:val="22"/>
              </w:rPr>
              <w:fldChar w:fldCharType="end"/>
            </w:r>
          </w:hyperlink>
        </w:p>
        <w:p w14:paraId="63A1040C" w14:textId="7A5C8F4C" w:rsidR="00CB3FDD" w:rsidRPr="00CB3FDD" w:rsidRDefault="00CD204B" w:rsidP="00CB3FDD">
          <w:pPr>
            <w:pStyle w:val="Verzeichnis2"/>
            <w:rPr>
              <w:rFonts w:asciiTheme="minorHAnsi" w:eastAsiaTheme="minorEastAsia" w:hAnsiTheme="minorHAnsi" w:cstheme="minorBidi"/>
              <w:sz w:val="22"/>
              <w:lang w:eastAsia="de-CH"/>
            </w:rPr>
          </w:pPr>
          <w:hyperlink r:id="rId63" w:anchor="_Toc161749191" w:history="1">
            <w:r w:rsidR="00CB3FDD" w:rsidRPr="00CB3FDD">
              <w:rPr>
                <w:rStyle w:val="Hyperlink"/>
                <w:sz w:val="22"/>
              </w:rPr>
              <w:t>Artikel 13 Abs. 1 und 1</w:t>
            </w:r>
            <w:r w:rsidR="00CB3FDD" w:rsidRPr="00CB3FDD">
              <w:rPr>
                <w:rStyle w:val="Hyperlink"/>
                <w:sz w:val="22"/>
                <w:vertAlign w:val="superscript"/>
              </w:rPr>
              <w:t>bis</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_Toc161749191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35</w:t>
            </w:r>
            <w:r w:rsidR="00CB3FDD" w:rsidRPr="00CB3FDD">
              <w:rPr>
                <w:rStyle w:val="Hyperlink"/>
                <w:webHidden/>
                <w:sz w:val="22"/>
              </w:rPr>
              <w:fldChar w:fldCharType="end"/>
            </w:r>
          </w:hyperlink>
        </w:p>
        <w:p w14:paraId="33251A46" w14:textId="27C8E00A" w:rsidR="00CB3FDD" w:rsidRPr="00CB3FDD" w:rsidRDefault="00CD204B" w:rsidP="00CB3FDD">
          <w:pPr>
            <w:pStyle w:val="Verzeichnis2"/>
            <w:rPr>
              <w:rFonts w:asciiTheme="minorHAnsi" w:eastAsiaTheme="minorEastAsia" w:hAnsiTheme="minorHAnsi" w:cstheme="minorBidi"/>
              <w:sz w:val="22"/>
              <w:lang w:eastAsia="de-CH"/>
            </w:rPr>
          </w:pPr>
          <w:hyperlink r:id="rId64" w:anchor="_Toc161749192" w:history="1">
            <w:r w:rsidR="00CB3FDD" w:rsidRPr="00CB3FDD">
              <w:rPr>
                <w:rStyle w:val="Hyperlink"/>
                <w:sz w:val="22"/>
              </w:rPr>
              <w:t>Artikel 14</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_Toc161749192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35</w:t>
            </w:r>
            <w:r w:rsidR="00CB3FDD" w:rsidRPr="00CB3FDD">
              <w:rPr>
                <w:rStyle w:val="Hyperlink"/>
                <w:webHidden/>
                <w:sz w:val="22"/>
              </w:rPr>
              <w:fldChar w:fldCharType="end"/>
            </w:r>
          </w:hyperlink>
        </w:p>
        <w:p w14:paraId="316DC812" w14:textId="38C8DDF8" w:rsidR="00CB3FDD" w:rsidRPr="00CB3FDD" w:rsidRDefault="00CD204B" w:rsidP="00CB3FDD">
          <w:pPr>
            <w:pStyle w:val="Verzeichnis2"/>
            <w:rPr>
              <w:rFonts w:asciiTheme="minorHAnsi" w:eastAsiaTheme="minorEastAsia" w:hAnsiTheme="minorHAnsi" w:cstheme="minorBidi"/>
              <w:sz w:val="22"/>
              <w:lang w:eastAsia="de-CH"/>
            </w:rPr>
          </w:pPr>
          <w:hyperlink r:id="rId65" w:anchor="_Toc161749193" w:history="1">
            <w:r w:rsidR="00CB3FDD" w:rsidRPr="00CB3FDD">
              <w:rPr>
                <w:rStyle w:val="Hyperlink"/>
                <w:sz w:val="22"/>
              </w:rPr>
              <w:t>Artikel 20</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_Toc161749193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35</w:t>
            </w:r>
            <w:r w:rsidR="00CB3FDD" w:rsidRPr="00CB3FDD">
              <w:rPr>
                <w:rStyle w:val="Hyperlink"/>
                <w:webHidden/>
                <w:sz w:val="22"/>
              </w:rPr>
              <w:fldChar w:fldCharType="end"/>
            </w:r>
          </w:hyperlink>
        </w:p>
        <w:p w14:paraId="5BA12FCE" w14:textId="2B05B182" w:rsidR="00CB3FDD" w:rsidRPr="00CB3FDD" w:rsidRDefault="00CD204B" w:rsidP="00CB3FDD">
          <w:pPr>
            <w:pStyle w:val="Verzeichnis2"/>
            <w:rPr>
              <w:rFonts w:asciiTheme="minorHAnsi" w:eastAsiaTheme="minorEastAsia" w:hAnsiTheme="minorHAnsi" w:cstheme="minorBidi"/>
              <w:sz w:val="22"/>
              <w:lang w:eastAsia="de-CH"/>
            </w:rPr>
          </w:pPr>
          <w:hyperlink r:id="rId66" w:anchor="_Toc161749194" w:history="1">
            <w:r w:rsidR="00CB3FDD" w:rsidRPr="00CB3FDD">
              <w:rPr>
                <w:rStyle w:val="Hyperlink"/>
                <w:sz w:val="22"/>
              </w:rPr>
              <w:t>Artikel 23</w:t>
            </w:r>
            <w:r w:rsidR="00CB3FDD" w:rsidRPr="00CB3FDD">
              <w:rPr>
                <w:rStyle w:val="Hyperlink"/>
                <w:webHidden/>
                <w:sz w:val="22"/>
              </w:rPr>
              <w:tab/>
            </w:r>
            <w:r w:rsidR="00CB3FDD" w:rsidRPr="00CB3FDD">
              <w:rPr>
                <w:rStyle w:val="Hyperlink"/>
                <w:webHidden/>
                <w:sz w:val="22"/>
              </w:rPr>
              <w:fldChar w:fldCharType="begin"/>
            </w:r>
            <w:r w:rsidR="00CB3FDD" w:rsidRPr="00CB3FDD">
              <w:rPr>
                <w:rStyle w:val="Hyperlink"/>
                <w:webHidden/>
                <w:sz w:val="22"/>
              </w:rPr>
              <w:instrText xml:space="preserve"> PAGEREF _Toc161749194 \h </w:instrText>
            </w:r>
            <w:r w:rsidR="00CB3FDD" w:rsidRPr="00CB3FDD">
              <w:rPr>
                <w:rStyle w:val="Hyperlink"/>
                <w:webHidden/>
                <w:sz w:val="22"/>
              </w:rPr>
            </w:r>
            <w:r w:rsidR="00CB3FDD" w:rsidRPr="00CB3FDD">
              <w:rPr>
                <w:rStyle w:val="Hyperlink"/>
                <w:webHidden/>
                <w:sz w:val="22"/>
              </w:rPr>
              <w:fldChar w:fldCharType="separate"/>
            </w:r>
            <w:r w:rsidR="00663FF0">
              <w:rPr>
                <w:rStyle w:val="Hyperlink"/>
                <w:webHidden/>
                <w:sz w:val="22"/>
              </w:rPr>
              <w:t>36</w:t>
            </w:r>
            <w:r w:rsidR="00CB3FDD" w:rsidRPr="00CB3FDD">
              <w:rPr>
                <w:rStyle w:val="Hyperlink"/>
                <w:webHidden/>
                <w:sz w:val="22"/>
              </w:rPr>
              <w:fldChar w:fldCharType="end"/>
            </w:r>
          </w:hyperlink>
        </w:p>
        <w:p w14:paraId="51B3E6CC" w14:textId="77777777" w:rsidR="00CB3FDD" w:rsidRPr="00CB3FDD" w:rsidRDefault="00CB3FDD" w:rsidP="00CB3FDD">
          <w:pPr>
            <w:rPr>
              <w:rFonts w:cs="Arial"/>
              <w:szCs w:val="22"/>
            </w:rPr>
          </w:pPr>
          <w:r w:rsidRPr="00CB3FDD">
            <w:rPr>
              <w:b/>
              <w:bCs/>
              <w:szCs w:val="22"/>
              <w:lang w:val="de-DE"/>
            </w:rPr>
            <w:fldChar w:fldCharType="end"/>
          </w:r>
        </w:p>
      </w:sdtContent>
    </w:sdt>
    <w:p w14:paraId="7DAA0EB3" w14:textId="77777777" w:rsidR="00CB3FDD" w:rsidRPr="00CB3FDD" w:rsidRDefault="00CB3FDD" w:rsidP="00CB3FDD">
      <w:pPr>
        <w:rPr>
          <w:szCs w:val="22"/>
        </w:rPr>
      </w:pPr>
      <w:r w:rsidRPr="00CB3FDD">
        <w:rPr>
          <w:rFonts w:ascii="Times New Roman" w:hAnsi="Times New Roman" w:cs="Times New Roman"/>
          <w:szCs w:val="22"/>
          <w:lang w:eastAsia="de-CH"/>
        </w:rPr>
        <w:br w:type="page"/>
      </w:r>
    </w:p>
    <w:p w14:paraId="0002ED21" w14:textId="77777777" w:rsidR="00CB3FDD" w:rsidRPr="00CB3FDD" w:rsidRDefault="00CB3FDD" w:rsidP="00CB3FDD">
      <w:pPr>
        <w:pStyle w:val="berschrift1"/>
        <w:numPr>
          <w:ilvl w:val="0"/>
          <w:numId w:val="38"/>
        </w:numPr>
        <w:tabs>
          <w:tab w:val="num" w:pos="284"/>
        </w:tabs>
        <w:ind w:left="284" w:hanging="284"/>
        <w:rPr>
          <w:sz w:val="22"/>
          <w:szCs w:val="22"/>
        </w:rPr>
      </w:pPr>
      <w:bookmarkStart w:id="1" w:name="_Toc161510788"/>
      <w:bookmarkStart w:id="2" w:name="_Ref161594074"/>
      <w:bookmarkStart w:id="3" w:name="_Ref161642500"/>
      <w:bookmarkStart w:id="4" w:name="_Toc161749135"/>
      <w:r w:rsidRPr="00CB3FDD">
        <w:rPr>
          <w:sz w:val="22"/>
          <w:szCs w:val="22"/>
        </w:rPr>
        <w:lastRenderedPageBreak/>
        <w:t>Das Wesentliche in Kürze</w:t>
      </w:r>
      <w:bookmarkEnd w:id="1"/>
      <w:bookmarkEnd w:id="2"/>
      <w:bookmarkEnd w:id="3"/>
      <w:bookmarkEnd w:id="4"/>
    </w:p>
    <w:p w14:paraId="0B4FC775" w14:textId="53651EB0" w:rsidR="00CB3FDD" w:rsidRPr="00CB3FDD" w:rsidRDefault="00CB3FDD" w:rsidP="00CB3FDD">
      <w:pPr>
        <w:pStyle w:val="Textkrper"/>
        <w:rPr>
          <w:sz w:val="22"/>
        </w:rPr>
      </w:pPr>
      <w:r w:rsidRPr="00CB3FDD">
        <w:rPr>
          <w:sz w:val="22"/>
        </w:rPr>
        <w:t xml:space="preserve">Der Bundesrat hat </w:t>
      </w:r>
      <w:r w:rsidRPr="00CB3FDD">
        <w:rPr>
          <w:b/>
          <w:sz w:val="22"/>
        </w:rPr>
        <w:t>anerkannt, dass das BehiG überarbeitet werden muss</w:t>
      </w:r>
      <w:r w:rsidRPr="00CB3FDD">
        <w:rPr>
          <w:sz w:val="22"/>
        </w:rPr>
        <w:t xml:space="preserve">. Entsprechend hat er seine Revision in die Wege geleitet. Das </w:t>
      </w:r>
      <w:r w:rsidRPr="00CB3FDD">
        <w:rPr>
          <w:b/>
          <w:sz w:val="22"/>
        </w:rPr>
        <w:t>begrüsst und unterstützt</w:t>
      </w:r>
      <w:r w:rsidRPr="00CB3FDD">
        <w:rPr>
          <w:sz w:val="22"/>
        </w:rPr>
        <w:t xml:space="preserve"> </w:t>
      </w:r>
      <w:r w:rsidR="00E93B6D">
        <w:rPr>
          <w:sz w:val="22"/>
        </w:rPr>
        <w:t>Pro Infirmis</w:t>
      </w:r>
      <w:r w:rsidRPr="00CB3FDD">
        <w:rPr>
          <w:sz w:val="22"/>
        </w:rPr>
        <w:t xml:space="preserve"> sehr. </w:t>
      </w:r>
    </w:p>
    <w:p w14:paraId="0EA39D63" w14:textId="19F2A9FE" w:rsidR="00CB3FDD" w:rsidRPr="00CB3FDD" w:rsidRDefault="00CB3FDD" w:rsidP="00CB3FDD">
      <w:pPr>
        <w:pStyle w:val="Textkrper"/>
        <w:rPr>
          <w:sz w:val="22"/>
          <w:lang w:eastAsia="de-CH"/>
        </w:rPr>
      </w:pPr>
      <w:r w:rsidRPr="00CB3FDD">
        <w:rPr>
          <w:sz w:val="22"/>
        </w:rPr>
        <w:t xml:space="preserve">Ziel der Vorlage ist es, einen Beitrag zur Gleichstellung von Menschen mit Behinderungen zu leisten und ihre autonome Teilhabe am gesellschaftlichen Leben zu fördern. Doch die Vorschläge werden die </w:t>
      </w:r>
      <w:r w:rsidRPr="00CB3FDD">
        <w:rPr>
          <w:b/>
          <w:sz w:val="22"/>
        </w:rPr>
        <w:t>Realität von Menschen mit Behinderungen voraussichtlich kaum verändern</w:t>
      </w:r>
      <w:r w:rsidRPr="00CB3FDD">
        <w:rPr>
          <w:sz w:val="22"/>
        </w:rPr>
        <w:t xml:space="preserve">. Problematisch sind insbesondere die </w:t>
      </w:r>
      <w:r w:rsidRPr="00CB3FDD">
        <w:rPr>
          <w:b/>
          <w:sz w:val="22"/>
        </w:rPr>
        <w:t>zu enge Themenwahl</w:t>
      </w:r>
      <w:r w:rsidRPr="00CB3FDD">
        <w:rPr>
          <w:sz w:val="22"/>
        </w:rPr>
        <w:t xml:space="preserve"> (Beschränkung auf Arbeit und Dienstleistungen, unten Ziff. </w:t>
      </w:r>
      <w:r w:rsidRPr="00CB3FDD">
        <w:rPr>
          <w:sz w:val="22"/>
        </w:rPr>
        <w:fldChar w:fldCharType="begin"/>
      </w:r>
      <w:r w:rsidRPr="00CB3FDD">
        <w:rPr>
          <w:sz w:val="22"/>
        </w:rPr>
        <w:instrText xml:space="preserve"> REF _Ref161473225 \r \h </w:instrText>
      </w:r>
      <w:r>
        <w:rPr>
          <w:sz w:val="22"/>
        </w:rPr>
        <w:instrText xml:space="preserve"> \* MERGEFORMAT </w:instrText>
      </w:r>
      <w:r w:rsidRPr="00CB3FDD">
        <w:rPr>
          <w:sz w:val="22"/>
        </w:rPr>
      </w:r>
      <w:r w:rsidRPr="00CB3FDD">
        <w:rPr>
          <w:sz w:val="22"/>
        </w:rPr>
        <w:fldChar w:fldCharType="separate"/>
      </w:r>
      <w:r w:rsidR="00663FF0">
        <w:rPr>
          <w:sz w:val="22"/>
        </w:rPr>
        <w:t>3</w:t>
      </w:r>
      <w:r w:rsidRPr="00CB3FDD">
        <w:rPr>
          <w:sz w:val="22"/>
        </w:rPr>
        <w:fldChar w:fldCharType="end"/>
      </w:r>
      <w:r w:rsidRPr="00CB3FDD">
        <w:rPr>
          <w:sz w:val="22"/>
        </w:rPr>
        <w:t xml:space="preserve">), die </w:t>
      </w:r>
      <w:r w:rsidRPr="00CB3FDD">
        <w:rPr>
          <w:b/>
          <w:sz w:val="22"/>
        </w:rPr>
        <w:t>Fokussierung auf den Schutz vor Diskriminierung im Einzelfall</w:t>
      </w:r>
      <w:r w:rsidRPr="00CB3FDD">
        <w:rPr>
          <w:sz w:val="22"/>
        </w:rPr>
        <w:t xml:space="preserve"> (unten Ziff. </w:t>
      </w:r>
      <w:r w:rsidRPr="00CB3FDD">
        <w:rPr>
          <w:sz w:val="22"/>
        </w:rPr>
        <w:fldChar w:fldCharType="begin"/>
      </w:r>
      <w:r w:rsidRPr="00CB3FDD">
        <w:rPr>
          <w:sz w:val="22"/>
        </w:rPr>
        <w:instrText xml:space="preserve"> REF _Ref161557885 \r \h </w:instrText>
      </w:r>
      <w:r>
        <w:rPr>
          <w:sz w:val="22"/>
        </w:rPr>
        <w:instrText xml:space="preserve"> \* MERGEFORMAT </w:instrText>
      </w:r>
      <w:r w:rsidRPr="00CB3FDD">
        <w:rPr>
          <w:sz w:val="22"/>
        </w:rPr>
      </w:r>
      <w:r w:rsidRPr="00CB3FDD">
        <w:rPr>
          <w:sz w:val="22"/>
        </w:rPr>
        <w:fldChar w:fldCharType="separate"/>
      </w:r>
      <w:r w:rsidR="00663FF0">
        <w:rPr>
          <w:sz w:val="22"/>
        </w:rPr>
        <w:t>4</w:t>
      </w:r>
      <w:r w:rsidRPr="00CB3FDD">
        <w:rPr>
          <w:sz w:val="22"/>
        </w:rPr>
        <w:fldChar w:fldCharType="end"/>
      </w:r>
      <w:r w:rsidRPr="00CB3FDD">
        <w:rPr>
          <w:sz w:val="22"/>
        </w:rPr>
        <w:t xml:space="preserve">), zudem noch mit einem </w:t>
      </w:r>
      <w:r w:rsidRPr="00CB3FDD">
        <w:rPr>
          <w:b/>
          <w:sz w:val="22"/>
        </w:rPr>
        <w:t>diesbezüglich untauglichen Vorschlag</w:t>
      </w:r>
      <w:r w:rsidRPr="00CB3FDD">
        <w:rPr>
          <w:sz w:val="22"/>
        </w:rPr>
        <w:t xml:space="preserve"> (unten Ziff. </w:t>
      </w:r>
      <w:r w:rsidRPr="00CB3FDD">
        <w:rPr>
          <w:sz w:val="22"/>
        </w:rPr>
        <w:fldChar w:fldCharType="begin"/>
      </w:r>
      <w:r w:rsidRPr="00CB3FDD">
        <w:rPr>
          <w:sz w:val="22"/>
        </w:rPr>
        <w:instrText xml:space="preserve"> REF _Ref161560698 \r \h </w:instrText>
      </w:r>
      <w:r>
        <w:rPr>
          <w:sz w:val="22"/>
        </w:rPr>
        <w:instrText xml:space="preserve"> \* MERGEFORMAT </w:instrText>
      </w:r>
      <w:r w:rsidRPr="00CB3FDD">
        <w:rPr>
          <w:sz w:val="22"/>
        </w:rPr>
      </w:r>
      <w:r w:rsidRPr="00CB3FDD">
        <w:rPr>
          <w:sz w:val="22"/>
        </w:rPr>
        <w:fldChar w:fldCharType="separate"/>
      </w:r>
      <w:r w:rsidR="00663FF0">
        <w:rPr>
          <w:sz w:val="22"/>
        </w:rPr>
        <w:t>4.2</w:t>
      </w:r>
      <w:r w:rsidRPr="00CB3FDD">
        <w:rPr>
          <w:sz w:val="22"/>
        </w:rPr>
        <w:fldChar w:fldCharType="end"/>
      </w:r>
      <w:r w:rsidRPr="00CB3FDD">
        <w:rPr>
          <w:sz w:val="22"/>
        </w:rPr>
        <w:t xml:space="preserve">). Mit der neuen Bestimmung zum </w:t>
      </w:r>
      <w:r w:rsidRPr="00CB3FDD">
        <w:rPr>
          <w:b/>
          <w:sz w:val="22"/>
        </w:rPr>
        <w:t>Verbandsbeschwerderecht</w:t>
      </w:r>
      <w:r w:rsidRPr="00CB3FDD">
        <w:rPr>
          <w:sz w:val="22"/>
        </w:rPr>
        <w:t xml:space="preserve"> würde sich die Rechtslage von Menschen mit Behinderungen sogar </w:t>
      </w:r>
      <w:r w:rsidRPr="00CB3FDD">
        <w:rPr>
          <w:b/>
          <w:sz w:val="22"/>
        </w:rPr>
        <w:t>deutlich verschlechtern</w:t>
      </w:r>
      <w:r w:rsidRPr="00CB3FDD">
        <w:rPr>
          <w:sz w:val="22"/>
        </w:rPr>
        <w:t xml:space="preserve"> (unten Ziff. </w:t>
      </w:r>
      <w:r w:rsidRPr="00CB3FDD">
        <w:rPr>
          <w:sz w:val="22"/>
        </w:rPr>
        <w:fldChar w:fldCharType="begin"/>
      </w:r>
      <w:r w:rsidRPr="00CB3FDD">
        <w:rPr>
          <w:sz w:val="22"/>
        </w:rPr>
        <w:instrText xml:space="preserve"> REF _Ref161557952 \r \h </w:instrText>
      </w:r>
      <w:r>
        <w:rPr>
          <w:sz w:val="22"/>
        </w:rPr>
        <w:instrText xml:space="preserve"> \* MERGEFORMAT </w:instrText>
      </w:r>
      <w:r w:rsidRPr="00CB3FDD">
        <w:rPr>
          <w:sz w:val="22"/>
        </w:rPr>
      </w:r>
      <w:r w:rsidRPr="00CB3FDD">
        <w:rPr>
          <w:sz w:val="22"/>
        </w:rPr>
        <w:fldChar w:fldCharType="separate"/>
      </w:r>
      <w:r w:rsidR="00663FF0">
        <w:rPr>
          <w:sz w:val="22"/>
        </w:rPr>
        <w:t>4.5</w:t>
      </w:r>
      <w:r w:rsidRPr="00CB3FDD">
        <w:rPr>
          <w:sz w:val="22"/>
        </w:rPr>
        <w:fldChar w:fldCharType="end"/>
      </w:r>
      <w:r w:rsidRPr="00CB3FDD">
        <w:rPr>
          <w:sz w:val="22"/>
        </w:rPr>
        <w:t xml:space="preserve">). Der Vorentwurf enthält weiter </w:t>
      </w:r>
      <w:r w:rsidRPr="00CB3FDD">
        <w:rPr>
          <w:b/>
          <w:sz w:val="22"/>
        </w:rPr>
        <w:t>keinerlei Vorschläge zur Stärkung der Institutionen und Organisationen</w:t>
      </w:r>
      <w:r w:rsidRPr="00CB3FDD">
        <w:rPr>
          <w:sz w:val="22"/>
        </w:rPr>
        <w:t xml:space="preserve">, welche eine Verantwortung für die Umsetzung der Rechte von Menschen mit Behinderungen tragen (dazu Ziff. </w:t>
      </w:r>
      <w:r w:rsidRPr="00CB3FDD">
        <w:rPr>
          <w:sz w:val="22"/>
        </w:rPr>
        <w:fldChar w:fldCharType="begin"/>
      </w:r>
      <w:r w:rsidRPr="00CB3FDD">
        <w:rPr>
          <w:sz w:val="22"/>
        </w:rPr>
        <w:instrText xml:space="preserve"> REF _Ref161565935 \r \h </w:instrText>
      </w:r>
      <w:r>
        <w:rPr>
          <w:sz w:val="22"/>
        </w:rPr>
        <w:instrText xml:space="preserve"> \* MERGEFORMAT </w:instrText>
      </w:r>
      <w:r w:rsidRPr="00CB3FDD">
        <w:rPr>
          <w:sz w:val="22"/>
        </w:rPr>
      </w:r>
      <w:r w:rsidRPr="00CB3FDD">
        <w:rPr>
          <w:sz w:val="22"/>
        </w:rPr>
        <w:fldChar w:fldCharType="separate"/>
      </w:r>
      <w:r w:rsidR="00663FF0">
        <w:rPr>
          <w:sz w:val="22"/>
        </w:rPr>
        <w:t>6</w:t>
      </w:r>
      <w:r w:rsidRPr="00CB3FDD">
        <w:rPr>
          <w:sz w:val="22"/>
        </w:rPr>
        <w:fldChar w:fldCharType="end"/>
      </w:r>
      <w:r w:rsidRPr="00CB3FDD">
        <w:rPr>
          <w:sz w:val="22"/>
        </w:rPr>
        <w:t xml:space="preserve">.). Schliesslich entsprechen die Vorschläge betreffend die </w:t>
      </w:r>
      <w:r w:rsidRPr="00CB3FDD">
        <w:rPr>
          <w:b/>
          <w:sz w:val="22"/>
        </w:rPr>
        <w:t>Anerkennung der Gebärdensprache nicht dem Willen des Parlamentes</w:t>
      </w:r>
      <w:r w:rsidRPr="00CB3FDD">
        <w:rPr>
          <w:sz w:val="22"/>
        </w:rPr>
        <w:t xml:space="preserve"> (dazu Ziff. </w:t>
      </w:r>
      <w:r w:rsidRPr="00CB3FDD">
        <w:rPr>
          <w:sz w:val="22"/>
        </w:rPr>
        <w:fldChar w:fldCharType="begin"/>
      </w:r>
      <w:r w:rsidRPr="00CB3FDD">
        <w:rPr>
          <w:sz w:val="22"/>
        </w:rPr>
        <w:instrText xml:space="preserve"> REF _Ref161560711 \r \h  \* MERGEFORMAT </w:instrText>
      </w:r>
      <w:r w:rsidRPr="00CB3FDD">
        <w:rPr>
          <w:sz w:val="22"/>
        </w:rPr>
      </w:r>
      <w:r w:rsidRPr="00CB3FDD">
        <w:rPr>
          <w:sz w:val="22"/>
        </w:rPr>
        <w:fldChar w:fldCharType="separate"/>
      </w:r>
      <w:r w:rsidR="00663FF0">
        <w:rPr>
          <w:sz w:val="22"/>
        </w:rPr>
        <w:t>5</w:t>
      </w:r>
      <w:r w:rsidRPr="00CB3FDD">
        <w:rPr>
          <w:sz w:val="22"/>
        </w:rPr>
        <w:fldChar w:fldCharType="end"/>
      </w:r>
      <w:r w:rsidRPr="00CB3FDD">
        <w:rPr>
          <w:sz w:val="22"/>
        </w:rPr>
        <w:t xml:space="preserve">). </w:t>
      </w:r>
    </w:p>
    <w:p w14:paraId="35D9A406" w14:textId="77777777" w:rsidR="00CB3FDD" w:rsidRPr="00CB3FDD" w:rsidRDefault="00CB3FDD" w:rsidP="00CB3FDD">
      <w:pPr>
        <w:pStyle w:val="Textkrper"/>
        <w:rPr>
          <w:sz w:val="22"/>
        </w:rPr>
      </w:pPr>
      <w:r w:rsidRPr="00CB3FDD">
        <w:rPr>
          <w:sz w:val="22"/>
        </w:rPr>
        <w:t xml:space="preserve">Es ist nötig und sinnvoll, den </w:t>
      </w:r>
      <w:r w:rsidRPr="00CB3FDD">
        <w:rPr>
          <w:b/>
          <w:sz w:val="22"/>
        </w:rPr>
        <w:t>Entwurf grundlegend zu überarbeiten</w:t>
      </w:r>
      <w:r w:rsidRPr="00CB3FDD">
        <w:rPr>
          <w:sz w:val="22"/>
        </w:rPr>
        <w:t>. Dabei sollten auch Anpassungen bei anderen, für die Teilnahme von Menschen mit Behinderungen wichtigen Erlassen ins Auge gefasst werden (insbesondere IVG; IFEG). Ohne eine solche Verknüpfung und übergreifende Herangehensweise wird der Schutz von Menschen mit Behinderungen in den Bereichen Arbeit und Wohnen weitgehend wirkungslos bleiben.</w:t>
      </w:r>
    </w:p>
    <w:p w14:paraId="7976385E" w14:textId="227A85A4" w:rsidR="00CB3FDD" w:rsidRPr="00CB3FDD" w:rsidRDefault="00CB3FDD" w:rsidP="00CB3FDD">
      <w:pPr>
        <w:pStyle w:val="Textkrper"/>
        <w:rPr>
          <w:sz w:val="22"/>
        </w:rPr>
      </w:pPr>
      <w:r w:rsidRPr="00CB3FDD">
        <w:rPr>
          <w:sz w:val="22"/>
        </w:rPr>
        <w:t xml:space="preserve">Gerade weil es sich um eine Vorlage handelt, deren Inhalt darin besteht, die Rechte von </w:t>
      </w:r>
      <w:r w:rsidRPr="00CB3FDD">
        <w:rPr>
          <w:b/>
          <w:sz w:val="22"/>
        </w:rPr>
        <w:t>Menschen mit Behinderungen</w:t>
      </w:r>
      <w:r w:rsidRPr="00CB3FDD">
        <w:rPr>
          <w:sz w:val="22"/>
        </w:rPr>
        <w:t xml:space="preserve"> zu verankern, müssen diese über die sie vertretenden Organisationen </w:t>
      </w:r>
      <w:r w:rsidRPr="00CB3FDD">
        <w:rPr>
          <w:b/>
          <w:sz w:val="22"/>
        </w:rPr>
        <w:t>miteinbezogen werden</w:t>
      </w:r>
      <w:r w:rsidRPr="00CB3FDD">
        <w:rPr>
          <w:sz w:val="22"/>
        </w:rPr>
        <w:t xml:space="preserve"> (dazu Ziff. </w:t>
      </w:r>
      <w:r w:rsidRPr="00CB3FDD">
        <w:rPr>
          <w:sz w:val="22"/>
        </w:rPr>
        <w:fldChar w:fldCharType="begin"/>
      </w:r>
      <w:r w:rsidRPr="00CB3FDD">
        <w:rPr>
          <w:sz w:val="22"/>
        </w:rPr>
        <w:instrText xml:space="preserve"> REF _Ref161560779 \r \h </w:instrText>
      </w:r>
      <w:r>
        <w:rPr>
          <w:sz w:val="22"/>
        </w:rPr>
        <w:instrText xml:space="preserve"> \* MERGEFORMAT </w:instrText>
      </w:r>
      <w:r w:rsidRPr="00CB3FDD">
        <w:rPr>
          <w:sz w:val="22"/>
        </w:rPr>
      </w:r>
      <w:r w:rsidRPr="00CB3FDD">
        <w:rPr>
          <w:sz w:val="22"/>
        </w:rPr>
        <w:fldChar w:fldCharType="separate"/>
      </w:r>
      <w:r w:rsidR="00663FF0">
        <w:rPr>
          <w:sz w:val="22"/>
        </w:rPr>
        <w:t>6.1</w:t>
      </w:r>
      <w:r w:rsidRPr="00CB3FDD">
        <w:rPr>
          <w:sz w:val="22"/>
        </w:rPr>
        <w:fldChar w:fldCharType="end"/>
      </w:r>
      <w:r w:rsidRPr="00CB3FDD">
        <w:rPr>
          <w:sz w:val="22"/>
        </w:rPr>
        <w:t xml:space="preserve">). Als </w:t>
      </w:r>
      <w:r w:rsidR="00E93B6D">
        <w:rPr>
          <w:sz w:val="22"/>
        </w:rPr>
        <w:t>DAchorganisation</w:t>
      </w:r>
      <w:r w:rsidRPr="00CB3FDD">
        <w:rPr>
          <w:sz w:val="22"/>
        </w:rPr>
        <w:t xml:space="preserve"> und mit seiner Expertise zum Behindertengleichstellungsrecht </w:t>
      </w:r>
      <w:r w:rsidRPr="00CB3FDD">
        <w:rPr>
          <w:b/>
          <w:sz w:val="22"/>
        </w:rPr>
        <w:t xml:space="preserve">stellt sich </w:t>
      </w:r>
      <w:r w:rsidR="00E93B6D">
        <w:rPr>
          <w:b/>
          <w:sz w:val="22"/>
        </w:rPr>
        <w:t>Pro Infirmis</w:t>
      </w:r>
      <w:r w:rsidRPr="00CB3FDD">
        <w:rPr>
          <w:b/>
          <w:sz w:val="22"/>
        </w:rPr>
        <w:t xml:space="preserve"> hierzu sehr gerne zur Verfügung der Bundesverwaltung</w:t>
      </w:r>
      <w:r w:rsidRPr="00CB3FDD">
        <w:rPr>
          <w:sz w:val="22"/>
        </w:rPr>
        <w:t xml:space="preserve">. Es handelt sich um eine dringend nötige, gleichzeitig aber auch um eine komplexe Revision, die eine Vielzahl unterschiedlicher Rechtsgebiete betrifft, mit ihren jeweiligen inhaltlichen sowie prozeduralen Besonderheiten. Entsprechend ist die Revision mit der </w:t>
      </w:r>
      <w:r w:rsidRPr="00CB3FDD">
        <w:rPr>
          <w:b/>
          <w:sz w:val="22"/>
        </w:rPr>
        <w:t>nötigen Zeit und Sorgfalt</w:t>
      </w:r>
      <w:r w:rsidRPr="00CB3FDD">
        <w:rPr>
          <w:sz w:val="22"/>
        </w:rPr>
        <w:t xml:space="preserve"> anzupacken, gleichzeitig auch </w:t>
      </w:r>
      <w:r w:rsidRPr="00CB3FDD">
        <w:rPr>
          <w:b/>
          <w:sz w:val="22"/>
        </w:rPr>
        <w:t>unter Berücksichtigung der politischen Aktualität</w:t>
      </w:r>
      <w:r w:rsidRPr="00CB3FDD">
        <w:rPr>
          <w:sz w:val="22"/>
        </w:rPr>
        <w:t xml:space="preserve">: Im Herbst 2024 wird voraussichtlich die </w:t>
      </w:r>
      <w:r w:rsidRPr="00CB3FDD">
        <w:rPr>
          <w:b/>
          <w:sz w:val="22"/>
        </w:rPr>
        <w:t>Inklusions-Initiative</w:t>
      </w:r>
      <w:r w:rsidRPr="00CB3FDD">
        <w:rPr>
          <w:sz w:val="22"/>
        </w:rPr>
        <w:t xml:space="preserve"> eingereicht, die eine Stärkung der Rechte von Menschen mit Behinderungen durch eine Anpassung von Art. 8 BV verlangt. Der vorliegende Vorentwurf zum BehiG stellt in keiner Weise eine griffige Alternative zu dieser Initiative dar.</w:t>
      </w:r>
    </w:p>
    <w:p w14:paraId="475D6536" w14:textId="42F37A62" w:rsidR="00CB3FDD" w:rsidRPr="00CB3FDD" w:rsidRDefault="00CB3FDD" w:rsidP="00CB3FDD">
      <w:pPr>
        <w:pStyle w:val="Textkrper"/>
        <w:rPr>
          <w:sz w:val="22"/>
        </w:rPr>
      </w:pPr>
      <w:r w:rsidRPr="00CB3FDD">
        <w:rPr>
          <w:sz w:val="22"/>
        </w:rPr>
        <w:t xml:space="preserve">Sollte der Bundesrat trotz der grundlegenden Kritik der Behindertenorganisationen an der Teilrevision des BehiG gemäss den Vorschlägen im VE-BehiG festhalten, enthalten die nachfolgenden Ausführungen auch, insbesondere unter Ziff. </w:t>
      </w:r>
      <w:r w:rsidRPr="00CB3FDD">
        <w:rPr>
          <w:sz w:val="22"/>
        </w:rPr>
        <w:fldChar w:fldCharType="begin"/>
      </w:r>
      <w:r w:rsidRPr="00CB3FDD">
        <w:rPr>
          <w:sz w:val="22"/>
        </w:rPr>
        <w:instrText xml:space="preserve"> REF _Ref161600096 \r \h </w:instrText>
      </w:r>
      <w:r>
        <w:rPr>
          <w:sz w:val="22"/>
        </w:rPr>
        <w:instrText xml:space="preserve"> \* MERGEFORMAT </w:instrText>
      </w:r>
      <w:r w:rsidRPr="00CB3FDD">
        <w:rPr>
          <w:sz w:val="22"/>
        </w:rPr>
      </w:r>
      <w:r w:rsidRPr="00CB3FDD">
        <w:rPr>
          <w:sz w:val="22"/>
        </w:rPr>
        <w:fldChar w:fldCharType="separate"/>
      </w:r>
      <w:r w:rsidR="00663FF0">
        <w:rPr>
          <w:sz w:val="22"/>
        </w:rPr>
        <w:t>7</w:t>
      </w:r>
      <w:r w:rsidRPr="00CB3FDD">
        <w:rPr>
          <w:sz w:val="22"/>
        </w:rPr>
        <w:fldChar w:fldCharType="end"/>
      </w:r>
      <w:r w:rsidRPr="00CB3FDD">
        <w:rPr>
          <w:sz w:val="22"/>
        </w:rPr>
        <w:t xml:space="preserve">, punktuelle Vorschläge zur Anpassung der einzelnen Bestimmungen. </w:t>
      </w:r>
    </w:p>
    <w:p w14:paraId="65009438" w14:textId="77777777" w:rsidR="00CB3FDD" w:rsidRPr="00CB3FDD" w:rsidRDefault="00CB3FDD" w:rsidP="00CB3FDD">
      <w:pPr>
        <w:pStyle w:val="berschrift1"/>
        <w:numPr>
          <w:ilvl w:val="0"/>
          <w:numId w:val="38"/>
        </w:numPr>
        <w:tabs>
          <w:tab w:val="num" w:pos="284"/>
        </w:tabs>
        <w:ind w:left="284" w:hanging="284"/>
        <w:rPr>
          <w:sz w:val="22"/>
          <w:szCs w:val="22"/>
        </w:rPr>
      </w:pPr>
      <w:bookmarkStart w:id="5" w:name="_Toc161510789"/>
      <w:bookmarkStart w:id="6" w:name="_Ref161603960"/>
      <w:bookmarkStart w:id="7" w:name="_Ref161648166"/>
      <w:bookmarkStart w:id="8" w:name="_Ref161695344"/>
      <w:bookmarkStart w:id="9" w:name="_Ref161724814"/>
      <w:bookmarkStart w:id="10" w:name="_Toc161749136"/>
      <w:r w:rsidRPr="00CB3FDD">
        <w:rPr>
          <w:sz w:val="22"/>
          <w:szCs w:val="22"/>
        </w:rPr>
        <w:t>Zur Notwendigkeit und Dringlichkeit der BehiG-Revision</w:t>
      </w:r>
      <w:bookmarkEnd w:id="5"/>
      <w:bookmarkEnd w:id="6"/>
      <w:bookmarkEnd w:id="7"/>
      <w:bookmarkEnd w:id="8"/>
      <w:bookmarkEnd w:id="9"/>
      <w:bookmarkEnd w:id="10"/>
    </w:p>
    <w:p w14:paraId="62430CBF" w14:textId="77777777" w:rsidR="00CB3FDD" w:rsidRPr="00CB3FDD" w:rsidRDefault="00CB3FDD" w:rsidP="00CB3FDD">
      <w:pPr>
        <w:pStyle w:val="Textkrper"/>
        <w:shd w:val="clear" w:color="auto" w:fill="FFFFFF" w:themeFill="background1"/>
        <w:rPr>
          <w:sz w:val="22"/>
        </w:rPr>
      </w:pPr>
      <w:r w:rsidRPr="00CB3FDD">
        <w:rPr>
          <w:sz w:val="22"/>
        </w:rPr>
        <w:t xml:space="preserve">Die </w:t>
      </w:r>
      <w:r w:rsidRPr="00CB3FDD">
        <w:rPr>
          <w:b/>
          <w:sz w:val="22"/>
        </w:rPr>
        <w:t>UNO-Behindertenrechtskonvention</w:t>
      </w:r>
      <w:r w:rsidRPr="00CB3FDD">
        <w:rPr>
          <w:sz w:val="22"/>
        </w:rPr>
        <w:t xml:space="preserve"> (BRK; SR 0.109) verpflichtet die Schweiz unter anderem ausdrücklich zur Berücksichtigung der Rechte von Menschen mit Behinderungen im Gesetzgebungsverfahren (Art. 4 Abs. 1 lit. a und b BRK). Anfang 2022 hat der </w:t>
      </w:r>
      <w:r w:rsidRPr="00CB3FDD">
        <w:rPr>
          <w:b/>
          <w:sz w:val="22"/>
        </w:rPr>
        <w:t>UNO-Ausschuss für die Rechte von Menschen mit Behinderungen</w:t>
      </w:r>
      <w:r w:rsidRPr="00CB3FDD">
        <w:rPr>
          <w:sz w:val="22"/>
        </w:rPr>
        <w:t xml:space="preserve"> (nachfolgend: UNO-Ausschuss) die Schweiz in Bezug auf die Umsetzung der BRK erstmals überprüft. In seinen im April 2022 erlassenen Empfehlungen («Concluding Observations») zuhanden der Schweiz zeigt er sich in Bezug auf Art. 4 BRK </w:t>
      </w:r>
      <w:r w:rsidRPr="00CB3FDD">
        <w:rPr>
          <w:b/>
          <w:sz w:val="22"/>
        </w:rPr>
        <w:t xml:space="preserve">besorgt über die mangelhafte Anpassung der Schweizer </w:t>
      </w:r>
      <w:r w:rsidRPr="00CB3FDD">
        <w:rPr>
          <w:b/>
          <w:sz w:val="22"/>
        </w:rPr>
        <w:lastRenderedPageBreak/>
        <w:t>Rechtsgrundlagen an die BRK</w:t>
      </w:r>
      <w:r w:rsidRPr="00CB3FDD">
        <w:rPr>
          <w:sz w:val="22"/>
        </w:rPr>
        <w:t xml:space="preserve"> (Rz. 7). Entsprechend empfiehlt er der Schweiz, sämtliche Rechtsgrundlagen mit der BRK zu harmonisieren (Rz. 8).</w:t>
      </w:r>
      <w:bookmarkStart w:id="11" w:name="_Ref161591363"/>
      <w:r w:rsidRPr="00CB3FDD">
        <w:rPr>
          <w:rStyle w:val="Funotenzeichen"/>
          <w:sz w:val="22"/>
        </w:rPr>
        <w:footnoteReference w:id="1"/>
      </w:r>
      <w:bookmarkEnd w:id="11"/>
      <w:r w:rsidRPr="00CB3FDD">
        <w:rPr>
          <w:rStyle w:val="Funotenzeichen"/>
          <w:sz w:val="22"/>
        </w:rPr>
        <w:t xml:space="preserve"> </w:t>
      </w:r>
      <w:r w:rsidRPr="00CB3FDD">
        <w:rPr>
          <w:sz w:val="22"/>
        </w:rPr>
        <w:t xml:space="preserve">Dies bedingt, dass bei allen Gesetzes- und Verordnungsrevisionen die BRK immer mitgedacht und eine Harmonisierung mit der BRK angestrebt werden muss. </w:t>
      </w:r>
    </w:p>
    <w:p w14:paraId="414CE483" w14:textId="77777777" w:rsidR="00CB3FDD" w:rsidRPr="00CB3FDD" w:rsidRDefault="00CB3FDD" w:rsidP="00CB3FDD">
      <w:pPr>
        <w:pStyle w:val="Textkrper"/>
        <w:shd w:val="clear" w:color="auto" w:fill="FFFFFF" w:themeFill="background1"/>
        <w:rPr>
          <w:sz w:val="22"/>
          <w:shd w:val="clear" w:color="auto" w:fill="EC9BA4"/>
        </w:rPr>
      </w:pPr>
      <w:r w:rsidRPr="00CB3FDD">
        <w:rPr>
          <w:sz w:val="22"/>
        </w:rPr>
        <w:t xml:space="preserve">Die </w:t>
      </w:r>
      <w:r w:rsidRPr="00CB3FDD">
        <w:rPr>
          <w:b/>
          <w:sz w:val="22"/>
        </w:rPr>
        <w:t>Bundesverfassung</w:t>
      </w:r>
      <w:r w:rsidRPr="00CB3FDD">
        <w:rPr>
          <w:sz w:val="22"/>
        </w:rPr>
        <w:t xml:space="preserve"> (BV; SR 101) verbietet in Art. 8 Abs. 2 Diskriminierungen wegen einer körperlichen, geistigen oder psychischen Behinderung. Art. 8 Abs. 4 BV verpflichtet den Gesetzgeber, Massnahmen zur Beseitigung der Benachteiligungen von Menschen mit Behinderungen zu ergreifen. Gestützt darauf hat der Gesetzgeber vor nun mehr als 20 Jahren das heutige </w:t>
      </w:r>
      <w:r w:rsidRPr="00CB3FDD">
        <w:rPr>
          <w:b/>
          <w:sz w:val="22"/>
        </w:rPr>
        <w:t>Behindertengleichstellungsgesetz</w:t>
      </w:r>
      <w:r w:rsidRPr="00CB3FDD">
        <w:rPr>
          <w:sz w:val="22"/>
        </w:rPr>
        <w:t xml:space="preserve"> (BehiG; SR 151.3) erlassen. Sowohl die </w:t>
      </w:r>
      <w:r w:rsidRPr="00CB3FDD">
        <w:rPr>
          <w:b/>
          <w:sz w:val="22"/>
        </w:rPr>
        <w:t>Rechtsprechung zu Art. 8 Abs. 2 BV</w:t>
      </w:r>
      <w:r w:rsidRPr="00CB3FDD">
        <w:rPr>
          <w:sz w:val="22"/>
        </w:rPr>
        <w:t xml:space="preserve"> als auch das – vor dem Inkrafttreten der BRK erlassene – </w:t>
      </w:r>
      <w:r w:rsidRPr="00CB3FDD">
        <w:rPr>
          <w:b/>
          <w:sz w:val="22"/>
        </w:rPr>
        <w:t>BehiG bleiben weit hinter den Anforderungen der BRK zurück</w:t>
      </w:r>
      <w:r w:rsidRPr="00CB3FDD">
        <w:rPr>
          <w:sz w:val="22"/>
        </w:rPr>
        <w:t xml:space="preserve">. So hält das Bundesgericht konstant fest, dass Art. 8 Abs. 2 BV </w:t>
      </w:r>
      <w:r w:rsidRPr="00CB3FDD">
        <w:rPr>
          <w:b/>
          <w:sz w:val="22"/>
        </w:rPr>
        <w:t xml:space="preserve">keinen Anspruch auf Herstellung faktischer Gleichheit </w:t>
      </w:r>
      <w:r w:rsidRPr="00CB3FDD">
        <w:rPr>
          <w:sz w:val="22"/>
        </w:rPr>
        <w:t>beinhalte. Dass aus dem Diskriminierungsverbot die Pflicht folgt, die zur tatsächlichen Ausübung eines Rechts durch eine Person mit Behinderung nötigen angemessenen Vorkehrungen zu treffen, ist nicht anerkannt.</w:t>
      </w:r>
      <w:bookmarkStart w:id="12" w:name="_Ref161592215"/>
      <w:r w:rsidRPr="00CB3FDD">
        <w:rPr>
          <w:rStyle w:val="Funotenzeichen"/>
          <w:sz w:val="22"/>
        </w:rPr>
        <w:footnoteReference w:id="2"/>
      </w:r>
      <w:bookmarkEnd w:id="12"/>
      <w:r w:rsidRPr="00CB3FDD">
        <w:rPr>
          <w:sz w:val="22"/>
        </w:rPr>
        <w:t xml:space="preserve"> Auch der Schutz vor Diskriminierungen, insbesondere gegenüber Privaten (Art. 6 BehiG), ist klar ungenügend. Dies insbesondere vor dem Hintergrund, dass das Bundesgericht den Diskriminierungsbegriff im Sinne von Art. 6 BehiG und Art. 2 Abs. 2 BehiV sehr restriktiv auslegt und auf jene Fälle beschränkt, bei denen die Herabwürdigung oder Ausgrenzung einer Person mit Behinderung das Ziel darstellt</w:t>
      </w:r>
      <w:r w:rsidRPr="00CB3FDD">
        <w:rPr>
          <w:rStyle w:val="Funotenzeichen"/>
          <w:sz w:val="22"/>
        </w:rPr>
        <w:t>.</w:t>
      </w:r>
      <w:r w:rsidRPr="00CB3FDD">
        <w:rPr>
          <w:rStyle w:val="Funotenzeichen"/>
          <w:sz w:val="22"/>
        </w:rPr>
        <w:footnoteReference w:id="3"/>
      </w:r>
      <w:r w:rsidRPr="00CB3FDD">
        <w:rPr>
          <w:rStyle w:val="Funotenzeichen"/>
          <w:sz w:val="22"/>
        </w:rPr>
        <w:t xml:space="preserve"> </w:t>
      </w:r>
      <w:r w:rsidRPr="00CB3FDD">
        <w:rPr>
          <w:sz w:val="22"/>
        </w:rPr>
        <w:t xml:space="preserve">Zudem kann eine Person, die wegen einer Diskriminierung klagt, lediglich eine Entschädigung von maximal CHF 5'000.- erhalten. Sie kann nicht verlangen, dass die Diskriminierung unterlassen oder durch angemessene Vorkehrungen beseitigt wird. Die Behindertenorganisationen haben in diesen Fällen sogar nur einen Anspruch auf Feststellung der Diskriminierung (Art. 9 Abs. 3 lit. a BehiG). </w:t>
      </w:r>
      <w:r w:rsidRPr="00CB3FDD">
        <w:rPr>
          <w:b/>
          <w:sz w:val="22"/>
        </w:rPr>
        <w:t>All diese Beschränkungen lassen sich mit Art. 2, 5 und 9 BRK nicht vereinbaren</w:t>
      </w:r>
      <w:r w:rsidRPr="00CB3FDD">
        <w:rPr>
          <w:sz w:val="22"/>
        </w:rPr>
        <w:t>.</w:t>
      </w:r>
      <w:r w:rsidRPr="00CB3FDD">
        <w:rPr>
          <w:rStyle w:val="Funotenzeichen"/>
          <w:sz w:val="22"/>
        </w:rPr>
        <w:footnoteReference w:id="4"/>
      </w:r>
    </w:p>
    <w:p w14:paraId="3DE7495C" w14:textId="77777777" w:rsidR="00CB3FDD" w:rsidRPr="00CB3FDD" w:rsidRDefault="00CB3FDD" w:rsidP="00CB3FDD">
      <w:pPr>
        <w:pStyle w:val="Textkrper"/>
        <w:shd w:val="clear" w:color="auto" w:fill="FFFFFF" w:themeFill="background1"/>
        <w:rPr>
          <w:sz w:val="22"/>
          <w:shd w:val="clear" w:color="auto" w:fill="EC9BA4"/>
        </w:rPr>
      </w:pPr>
      <w:r w:rsidRPr="00CB3FDD">
        <w:rPr>
          <w:sz w:val="22"/>
        </w:rPr>
        <w:t>Entsprechend empfahl der UNO-</w:t>
      </w:r>
      <w:r w:rsidRPr="00CB3FDD">
        <w:rPr>
          <w:b/>
          <w:sz w:val="22"/>
        </w:rPr>
        <w:t>Ausschuss</w:t>
      </w:r>
      <w:r w:rsidRPr="00CB3FDD">
        <w:rPr>
          <w:sz w:val="22"/>
        </w:rPr>
        <w:t xml:space="preserve"> der Schweiz, Massnahmen zu ergreifen, um sicherzustellen, dass der </w:t>
      </w:r>
      <w:r w:rsidRPr="00CB3FDD">
        <w:rPr>
          <w:b/>
          <w:sz w:val="22"/>
        </w:rPr>
        <w:t>Schutz von Menschen mit Behinderungen vor Diskriminierungen den BRK-Standards entspricht</w:t>
      </w:r>
      <w:r w:rsidRPr="00CB3FDD">
        <w:rPr>
          <w:sz w:val="22"/>
        </w:rPr>
        <w:t>.</w:t>
      </w:r>
      <w:bookmarkStart w:id="13" w:name="_Ref161641543"/>
      <w:r w:rsidRPr="00CB3FDD">
        <w:rPr>
          <w:rStyle w:val="Funotenzeichen"/>
          <w:sz w:val="22"/>
        </w:rPr>
        <w:footnoteReference w:id="5"/>
      </w:r>
      <w:bookmarkEnd w:id="13"/>
      <w:r w:rsidRPr="00CB3FDD">
        <w:rPr>
          <w:sz w:val="22"/>
        </w:rPr>
        <w:t xml:space="preserve"> In die gleiche Richtung zielt die Inklusions-Initiative, die zum Ziel hat, dass die tatsächliche Gleichstellung von Menschen mit Behinderungen in der Schweiz zu verwirklichen. Gemäss der Initiative soll Art. 8 Abs. 4 BV aufgehoben und ein neuer Art. 8a BV eingeführt werden.</w:t>
      </w:r>
    </w:p>
    <w:p w14:paraId="6CF62B1B" w14:textId="77777777" w:rsidR="00CB3FDD" w:rsidRPr="00CB3FDD" w:rsidRDefault="00CB3FDD" w:rsidP="00CB3FDD">
      <w:pPr>
        <w:pStyle w:val="Textkrper"/>
        <w:shd w:val="clear" w:color="auto" w:fill="FFFFFF" w:themeFill="background1"/>
        <w:rPr>
          <w:sz w:val="22"/>
          <w:shd w:val="clear" w:color="auto" w:fill="EC9BA4"/>
        </w:rPr>
      </w:pPr>
      <w:r w:rsidRPr="00CB3FDD">
        <w:rPr>
          <w:sz w:val="22"/>
        </w:rPr>
        <w:t xml:space="preserve">Auch der </w:t>
      </w:r>
      <w:r w:rsidRPr="00CB3FDD">
        <w:rPr>
          <w:b/>
          <w:sz w:val="22"/>
        </w:rPr>
        <w:t>Bundesrat anerkennt Lücken im Schweizer Recht</w:t>
      </w:r>
      <w:r w:rsidRPr="00CB3FDD">
        <w:rPr>
          <w:sz w:val="22"/>
        </w:rPr>
        <w:t xml:space="preserve">, insbesondere bei der Garantie der Sicherstellung eines umfassenden und wirksamen Schutzes vor Diskriminierung und sieht </w:t>
      </w:r>
      <w:r w:rsidRPr="00CB3FDD">
        <w:rPr>
          <w:b/>
          <w:sz w:val="22"/>
        </w:rPr>
        <w:t>Handlungsbedarf auf Gesetzesebene</w:t>
      </w:r>
      <w:r w:rsidRPr="00CB3FDD">
        <w:rPr>
          <w:sz w:val="22"/>
        </w:rPr>
        <w:t>.</w:t>
      </w:r>
      <w:r w:rsidRPr="00CB3FDD">
        <w:rPr>
          <w:rStyle w:val="Funotenzeichen"/>
          <w:sz w:val="22"/>
        </w:rPr>
        <w:footnoteReference w:id="6"/>
      </w:r>
      <w:r w:rsidRPr="00CB3FDD">
        <w:rPr>
          <w:sz w:val="22"/>
        </w:rPr>
        <w:t xml:space="preserve"> Aus seiner Sicht beschränkt sich dieser jedoch im Wesentlichen darauf, dass für Menschen mit Behinderungen der </w:t>
      </w:r>
      <w:r w:rsidRPr="00CB3FDD">
        <w:rPr>
          <w:b/>
          <w:sz w:val="22"/>
        </w:rPr>
        <w:t>Zugang zu Dienstleistungen</w:t>
      </w:r>
      <w:r w:rsidRPr="00CB3FDD">
        <w:rPr>
          <w:sz w:val="22"/>
        </w:rPr>
        <w:t xml:space="preserve"> verbessert und der </w:t>
      </w:r>
      <w:r w:rsidRPr="00CB3FDD">
        <w:rPr>
          <w:b/>
          <w:sz w:val="22"/>
        </w:rPr>
        <w:t>Schutz vor Diskriminierung, insbesondere im Arbeitsverhältnis</w:t>
      </w:r>
      <w:r w:rsidRPr="00CB3FDD">
        <w:rPr>
          <w:sz w:val="22"/>
        </w:rPr>
        <w:t>, verstärkt wird.</w:t>
      </w:r>
      <w:r w:rsidRPr="00CB3FDD">
        <w:rPr>
          <w:rStyle w:val="Funotenzeichen"/>
          <w:sz w:val="22"/>
        </w:rPr>
        <w:footnoteReference w:id="7"/>
      </w:r>
      <w:r w:rsidRPr="00CB3FDD">
        <w:rPr>
          <w:sz w:val="22"/>
        </w:rPr>
        <w:t xml:space="preserve"> Auch in der durchgeführten Regulierungsfolgenabschätzung wird der </w:t>
      </w:r>
      <w:r w:rsidRPr="00CB3FDD">
        <w:rPr>
          <w:b/>
          <w:sz w:val="22"/>
        </w:rPr>
        <w:t xml:space="preserve">Handlungsbedarf zur Verbesserung der Gleichstellung von Menschen mit </w:t>
      </w:r>
      <w:r w:rsidRPr="00CB3FDD">
        <w:rPr>
          <w:b/>
          <w:sz w:val="22"/>
        </w:rPr>
        <w:lastRenderedPageBreak/>
        <w:t>Behinderungen anerkannt</w:t>
      </w:r>
      <w:r w:rsidRPr="00CB3FDD">
        <w:rPr>
          <w:sz w:val="22"/>
        </w:rPr>
        <w:t>.</w:t>
      </w:r>
      <w:r w:rsidRPr="00CB3FDD">
        <w:rPr>
          <w:rStyle w:val="Funotenzeichen"/>
          <w:sz w:val="22"/>
        </w:rPr>
        <w:footnoteReference w:id="8"/>
      </w:r>
      <w:r w:rsidRPr="00CB3FDD">
        <w:rPr>
          <w:sz w:val="22"/>
        </w:rPr>
        <w:t xml:space="preserve"> Eine Anpassung des Schweizer Rechts an internationale Verpflichtungen ist jedoch – trotz entsprechender Empfehlung des UNO-Ausschusses – nicht das Hauptanliegen des Bundesrates.</w:t>
      </w:r>
      <w:r w:rsidRPr="00CB3FDD">
        <w:rPr>
          <w:rStyle w:val="Funotenzeichen"/>
          <w:sz w:val="22"/>
        </w:rPr>
        <w:footnoteReference w:id="9"/>
      </w:r>
      <w:r w:rsidRPr="00CB3FDD">
        <w:rPr>
          <w:sz w:val="22"/>
          <w:shd w:val="clear" w:color="auto" w:fill="EC9BA4"/>
        </w:rPr>
        <w:t xml:space="preserve"> </w:t>
      </w:r>
    </w:p>
    <w:p w14:paraId="3AE09F19" w14:textId="77777777" w:rsidR="00CB3FDD" w:rsidRPr="00CB3FDD" w:rsidRDefault="00CB3FDD" w:rsidP="00CB3FDD">
      <w:pPr>
        <w:pStyle w:val="Textkrper"/>
        <w:rPr>
          <w:sz w:val="22"/>
        </w:rPr>
      </w:pPr>
      <w:r w:rsidRPr="00CB3FDD">
        <w:rPr>
          <w:sz w:val="22"/>
        </w:rPr>
        <w:t xml:space="preserve">Der </w:t>
      </w:r>
      <w:r w:rsidRPr="00CB3FDD">
        <w:rPr>
          <w:b/>
          <w:sz w:val="22"/>
        </w:rPr>
        <w:t>Revisionsbedarf</w:t>
      </w:r>
      <w:r w:rsidRPr="00CB3FDD">
        <w:rPr>
          <w:sz w:val="22"/>
        </w:rPr>
        <w:t xml:space="preserve"> des BehiG ist somit unumstritten. Der vorliegende </w:t>
      </w:r>
      <w:r w:rsidRPr="00CB3FDD">
        <w:rPr>
          <w:b/>
          <w:sz w:val="22"/>
        </w:rPr>
        <w:t>Gesetzesentwurf wird dem tatsächlich bestehenden Revisionsbedarf</w:t>
      </w:r>
      <w:r w:rsidRPr="00CB3FDD">
        <w:rPr>
          <w:sz w:val="22"/>
        </w:rPr>
        <w:t xml:space="preserve">, insbesondere im Hinblick auf eine Harmonisierung des BehiG mit der BRK, jedoch </w:t>
      </w:r>
      <w:r w:rsidRPr="00CB3FDD">
        <w:rPr>
          <w:b/>
          <w:sz w:val="22"/>
        </w:rPr>
        <w:t>bei weitem nicht gerecht</w:t>
      </w:r>
      <w:r w:rsidRPr="00CB3FDD">
        <w:rPr>
          <w:sz w:val="22"/>
        </w:rPr>
        <w:t xml:space="preserve">, wie nachfolgend aufgezeigt wird. </w:t>
      </w:r>
    </w:p>
    <w:p w14:paraId="56445853"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tabs>
          <w:tab w:val="left" w:pos="7620"/>
        </w:tabs>
        <w:rPr>
          <w:b/>
          <w:sz w:val="22"/>
        </w:rPr>
      </w:pPr>
      <w:r w:rsidRPr="00CB3FDD">
        <w:rPr>
          <w:b/>
          <w:sz w:val="22"/>
        </w:rPr>
        <w:t>Forderungen</w:t>
      </w:r>
    </w:p>
    <w:p w14:paraId="16FD449E"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xml:space="preserve">- Das BehiG </w:t>
      </w:r>
      <w:r w:rsidRPr="00CB3FDD">
        <w:rPr>
          <w:b/>
          <w:sz w:val="22"/>
        </w:rPr>
        <w:t>muss unbedingt einer umfassenden Revision unterzogen</w:t>
      </w:r>
      <w:r w:rsidRPr="00CB3FDD">
        <w:rPr>
          <w:sz w:val="22"/>
        </w:rPr>
        <w:t xml:space="preserve"> werden. </w:t>
      </w:r>
    </w:p>
    <w:p w14:paraId="0D3E1A6C" w14:textId="15E1D834"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xml:space="preserve">- Die Revision ist </w:t>
      </w:r>
      <w:r w:rsidRPr="00CB3FDD">
        <w:rPr>
          <w:b/>
          <w:sz w:val="22"/>
        </w:rPr>
        <w:t>breiter zu fassen</w:t>
      </w:r>
      <w:r w:rsidRPr="00CB3FDD">
        <w:rPr>
          <w:sz w:val="22"/>
        </w:rPr>
        <w:t xml:space="preserve">, sowohl hinsichtlich der Themen (dazu gleich Ziff. </w:t>
      </w:r>
      <w:r w:rsidRPr="00CB3FDD">
        <w:rPr>
          <w:sz w:val="22"/>
        </w:rPr>
        <w:fldChar w:fldCharType="begin"/>
      </w:r>
      <w:r w:rsidRPr="00CB3FDD">
        <w:rPr>
          <w:sz w:val="22"/>
        </w:rPr>
        <w:instrText xml:space="preserve"> REF _Ref161601181 \r \h  \* MERGEFORMAT </w:instrText>
      </w:r>
      <w:r w:rsidRPr="00CB3FDD">
        <w:rPr>
          <w:sz w:val="22"/>
        </w:rPr>
      </w:r>
      <w:r w:rsidRPr="00CB3FDD">
        <w:rPr>
          <w:sz w:val="22"/>
        </w:rPr>
        <w:fldChar w:fldCharType="separate"/>
      </w:r>
      <w:r w:rsidR="00663FF0">
        <w:rPr>
          <w:sz w:val="22"/>
        </w:rPr>
        <w:t>3</w:t>
      </w:r>
      <w:r w:rsidRPr="00CB3FDD">
        <w:rPr>
          <w:sz w:val="22"/>
        </w:rPr>
        <w:fldChar w:fldCharType="end"/>
      </w:r>
      <w:r w:rsidRPr="00CB3FDD">
        <w:rPr>
          <w:sz w:val="22"/>
        </w:rPr>
        <w:t xml:space="preserve">) als auch der Instrumente (Ziff. </w:t>
      </w:r>
      <w:r w:rsidRPr="00CB3FDD">
        <w:rPr>
          <w:sz w:val="22"/>
        </w:rPr>
        <w:fldChar w:fldCharType="begin"/>
      </w:r>
      <w:r w:rsidRPr="00CB3FDD">
        <w:rPr>
          <w:sz w:val="22"/>
        </w:rPr>
        <w:instrText xml:space="preserve"> REF _Ref161601249 \r \h  \* MERGEFORMAT </w:instrText>
      </w:r>
      <w:r w:rsidRPr="00CB3FDD">
        <w:rPr>
          <w:sz w:val="22"/>
        </w:rPr>
      </w:r>
      <w:r w:rsidRPr="00CB3FDD">
        <w:rPr>
          <w:sz w:val="22"/>
        </w:rPr>
        <w:fldChar w:fldCharType="separate"/>
      </w:r>
      <w:r w:rsidR="00663FF0">
        <w:rPr>
          <w:sz w:val="22"/>
        </w:rPr>
        <w:t>4</w:t>
      </w:r>
      <w:r w:rsidRPr="00CB3FDD">
        <w:rPr>
          <w:sz w:val="22"/>
        </w:rPr>
        <w:fldChar w:fldCharType="end"/>
      </w:r>
      <w:r w:rsidRPr="00CB3FDD">
        <w:rPr>
          <w:sz w:val="22"/>
        </w:rPr>
        <w:t xml:space="preserve">). </w:t>
      </w:r>
    </w:p>
    <w:p w14:paraId="22885D7B"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xml:space="preserve">- Angesichts der rechtlichen Komplexität des Unterfangens ist hierzu die </w:t>
      </w:r>
      <w:r w:rsidRPr="00CB3FDD">
        <w:rPr>
          <w:b/>
          <w:sz w:val="22"/>
        </w:rPr>
        <w:t>nötige Zeit</w:t>
      </w:r>
      <w:r w:rsidRPr="00CB3FDD">
        <w:rPr>
          <w:sz w:val="22"/>
        </w:rPr>
        <w:t xml:space="preserve"> zu investieren und es sind die </w:t>
      </w:r>
      <w:r w:rsidRPr="00CB3FDD">
        <w:rPr>
          <w:b/>
          <w:sz w:val="22"/>
        </w:rPr>
        <w:t>Organisationen von Menschen mit Behinderungen einzubeziehen</w:t>
      </w:r>
      <w:r w:rsidRPr="00CB3FDD">
        <w:rPr>
          <w:sz w:val="22"/>
        </w:rPr>
        <w:t>.</w:t>
      </w:r>
    </w:p>
    <w:p w14:paraId="6476ECA8" w14:textId="5E6F2E11" w:rsidR="00CB3FDD" w:rsidRPr="00CB3FDD" w:rsidRDefault="00CB3FDD" w:rsidP="00CB3FDD">
      <w:pPr>
        <w:rPr>
          <w:szCs w:val="22"/>
        </w:rPr>
      </w:pPr>
    </w:p>
    <w:p w14:paraId="4161D2FB" w14:textId="77777777" w:rsidR="00CB3FDD" w:rsidRPr="00CB3FDD" w:rsidRDefault="00CB3FDD" w:rsidP="00CB3FDD">
      <w:pPr>
        <w:pStyle w:val="berschrift1"/>
        <w:numPr>
          <w:ilvl w:val="0"/>
          <w:numId w:val="38"/>
        </w:numPr>
        <w:tabs>
          <w:tab w:val="num" w:pos="284"/>
        </w:tabs>
        <w:ind w:left="284" w:hanging="284"/>
        <w:rPr>
          <w:sz w:val="22"/>
          <w:szCs w:val="22"/>
        </w:rPr>
      </w:pPr>
      <w:bookmarkStart w:id="14" w:name="_Toc161510790"/>
      <w:bookmarkStart w:id="15" w:name="_Ref161565907"/>
      <w:bookmarkStart w:id="16" w:name="_Ref161601181"/>
      <w:bookmarkStart w:id="17" w:name="_Toc161749137"/>
      <w:bookmarkStart w:id="18" w:name="_Ref161473225"/>
      <w:r w:rsidRPr="00CB3FDD">
        <w:rPr>
          <w:sz w:val="22"/>
          <w:szCs w:val="22"/>
        </w:rPr>
        <w:t>Zum Fokus auf die Bereiche Arbeit und Dienstleistungen Privater</w:t>
      </w:r>
      <w:bookmarkEnd w:id="14"/>
      <w:bookmarkEnd w:id="15"/>
      <w:bookmarkEnd w:id="16"/>
      <w:bookmarkEnd w:id="17"/>
    </w:p>
    <w:p w14:paraId="60E7BAE0" w14:textId="49DBDA87" w:rsidR="00CB3FDD" w:rsidRPr="00CB3FDD" w:rsidRDefault="00CB3FDD" w:rsidP="00CB3FDD">
      <w:pPr>
        <w:pStyle w:val="Textkrper"/>
        <w:rPr>
          <w:sz w:val="22"/>
        </w:rPr>
      </w:pPr>
      <w:r w:rsidRPr="00CB3FDD">
        <w:rPr>
          <w:sz w:val="22"/>
        </w:rPr>
        <w:t xml:space="preserve">Die </w:t>
      </w:r>
      <w:r w:rsidRPr="00CB3FDD">
        <w:rPr>
          <w:b/>
          <w:sz w:val="22"/>
        </w:rPr>
        <w:t>BRK</w:t>
      </w:r>
      <w:r w:rsidRPr="00CB3FDD">
        <w:rPr>
          <w:sz w:val="22"/>
        </w:rPr>
        <w:t xml:space="preserve"> umfasst alle Lebensbereiche und verlangt </w:t>
      </w:r>
      <w:r w:rsidRPr="00CB3FDD">
        <w:rPr>
          <w:b/>
          <w:sz w:val="22"/>
        </w:rPr>
        <w:t>tiefgreifende Veränderungen unserer Gesellschaft</w:t>
      </w:r>
      <w:r w:rsidRPr="00CB3FDD">
        <w:rPr>
          <w:sz w:val="22"/>
        </w:rPr>
        <w:t>. Angesichts ihrer Tragweite ist unbestritten, dass bei der Umsetzung priorisiert werden muss. Trotz entsprechender Empfehlung des BRK-Ausschusses</w:t>
      </w:r>
      <w:r w:rsidRPr="00CB3FDD">
        <w:rPr>
          <w:rStyle w:val="Funotenzeichen"/>
          <w:sz w:val="22"/>
        </w:rPr>
        <w:footnoteReference w:id="10"/>
      </w:r>
      <w:r w:rsidRPr="00CB3FDD">
        <w:rPr>
          <w:sz w:val="22"/>
        </w:rPr>
        <w:t xml:space="preserve"> </w:t>
      </w:r>
      <w:r w:rsidRPr="00CB3FDD">
        <w:rPr>
          <w:b/>
          <w:sz w:val="22"/>
        </w:rPr>
        <w:t>verfügt die Schweiz jedoch nach wie vor nicht über einen umfassenden Aktionsplan zur Umsetzung der BRK-Rechte</w:t>
      </w:r>
      <w:r w:rsidRPr="00CB3FDD">
        <w:rPr>
          <w:sz w:val="22"/>
        </w:rPr>
        <w:t xml:space="preserve">. Obschon die </w:t>
      </w:r>
      <w:r w:rsidRPr="00CB3FDD">
        <w:rPr>
          <w:b/>
          <w:sz w:val="22"/>
        </w:rPr>
        <w:t>«Schwerpunktprogramme Behindertenpolitik 2023-2026»</w:t>
      </w:r>
      <w:r w:rsidRPr="00CB3FDD">
        <w:rPr>
          <w:sz w:val="22"/>
        </w:rPr>
        <w:t xml:space="preserve"> des Bundesrates in die </w:t>
      </w:r>
      <w:r w:rsidRPr="00CB3FDD">
        <w:rPr>
          <w:b/>
          <w:sz w:val="22"/>
        </w:rPr>
        <w:t>richtige Richtung gehen</w:t>
      </w:r>
      <w:r w:rsidRPr="00CB3FDD">
        <w:rPr>
          <w:sz w:val="22"/>
        </w:rPr>
        <w:t xml:space="preserve"> und den Willen zeigen, etwas zu tun, stellen sie keinen Aktionsplan dar. Diese Programme genügen nicht, um die notwendige Konkretisierung der BRK-Rechte sowie der hierzu erforderliche Etablierung staatlicher Aufgaben auf Gesetzesebene zu erreichen (dazu Ziff. </w:t>
      </w:r>
      <w:r w:rsidRPr="00CB3FDD">
        <w:rPr>
          <w:sz w:val="22"/>
        </w:rPr>
        <w:fldChar w:fldCharType="begin"/>
      </w:r>
      <w:r w:rsidRPr="00CB3FDD">
        <w:rPr>
          <w:sz w:val="22"/>
        </w:rPr>
        <w:instrText xml:space="preserve"> REF _Ref161590234 \r \h  \* MERGEFORMAT </w:instrText>
      </w:r>
      <w:r w:rsidRPr="00CB3FDD">
        <w:rPr>
          <w:sz w:val="22"/>
        </w:rPr>
      </w:r>
      <w:r w:rsidRPr="00CB3FDD">
        <w:rPr>
          <w:sz w:val="22"/>
        </w:rPr>
        <w:fldChar w:fldCharType="separate"/>
      </w:r>
      <w:r w:rsidR="00663FF0">
        <w:rPr>
          <w:sz w:val="22"/>
        </w:rPr>
        <w:t>4.1</w:t>
      </w:r>
      <w:r w:rsidRPr="00CB3FDD">
        <w:rPr>
          <w:sz w:val="22"/>
        </w:rPr>
        <w:fldChar w:fldCharType="end"/>
      </w:r>
      <w:r w:rsidRPr="00CB3FDD">
        <w:rPr>
          <w:sz w:val="22"/>
        </w:rPr>
        <w:t>).</w:t>
      </w:r>
    </w:p>
    <w:p w14:paraId="34F91F75" w14:textId="616BFC8F" w:rsidR="00CB3FDD" w:rsidRPr="00CB3FDD" w:rsidRDefault="00CB3FDD" w:rsidP="00CB3FDD">
      <w:pPr>
        <w:pStyle w:val="Textkrper"/>
        <w:rPr>
          <w:sz w:val="22"/>
        </w:rPr>
      </w:pPr>
      <w:r w:rsidRPr="00CB3FDD">
        <w:rPr>
          <w:sz w:val="22"/>
        </w:rPr>
        <w:t xml:space="preserve">Vor diesem Hintergrund legt nun die vorliegende Revision des BehiG den Fokus auf die Bereiche Arbeit und Dienstleistungen, zudem auch auf die Anerkennung der Gebärdensprache (dazu Ziff. </w:t>
      </w:r>
      <w:r w:rsidRPr="00CB3FDD">
        <w:rPr>
          <w:sz w:val="22"/>
        </w:rPr>
        <w:fldChar w:fldCharType="begin"/>
      </w:r>
      <w:r w:rsidRPr="00CB3FDD">
        <w:rPr>
          <w:sz w:val="22"/>
        </w:rPr>
        <w:instrText xml:space="preserve"> REF _Ref161560711 \r \h </w:instrText>
      </w:r>
      <w:r>
        <w:rPr>
          <w:sz w:val="22"/>
        </w:rPr>
        <w:instrText xml:space="preserve"> \* MERGEFORMAT </w:instrText>
      </w:r>
      <w:r w:rsidRPr="00CB3FDD">
        <w:rPr>
          <w:sz w:val="22"/>
        </w:rPr>
      </w:r>
      <w:r w:rsidRPr="00CB3FDD">
        <w:rPr>
          <w:sz w:val="22"/>
        </w:rPr>
        <w:fldChar w:fldCharType="separate"/>
      </w:r>
      <w:r w:rsidR="00663FF0">
        <w:rPr>
          <w:sz w:val="22"/>
        </w:rPr>
        <w:t>5</w:t>
      </w:r>
      <w:r w:rsidRPr="00CB3FDD">
        <w:rPr>
          <w:sz w:val="22"/>
        </w:rPr>
        <w:fldChar w:fldCharType="end"/>
      </w:r>
      <w:r w:rsidRPr="00CB3FDD">
        <w:rPr>
          <w:sz w:val="22"/>
        </w:rPr>
        <w:t xml:space="preserve">). </w:t>
      </w:r>
      <w:r w:rsidRPr="00CB3FDD">
        <w:rPr>
          <w:b/>
          <w:sz w:val="22"/>
        </w:rPr>
        <w:t>Dass diese Themen ausgewählt worden sind, ist zu begrüssen</w:t>
      </w:r>
      <w:r w:rsidRPr="00CB3FDD">
        <w:rPr>
          <w:sz w:val="22"/>
        </w:rPr>
        <w:t xml:space="preserve">. </w:t>
      </w:r>
      <w:r w:rsidRPr="00CB3FDD">
        <w:rPr>
          <w:b/>
          <w:sz w:val="22"/>
        </w:rPr>
        <w:t>In allen drei Bereichen ist der Reformbedarf gross</w:t>
      </w:r>
      <w:r w:rsidRPr="00CB3FDD">
        <w:rPr>
          <w:sz w:val="22"/>
        </w:rPr>
        <w:t xml:space="preserve">. Dass mit der vorliegenden Revision nicht alle Herausforderungen, mit denen sich der Bundesgesetzgeber bei der BRK-Umsetzung konfrontiert sieht, gepackt werden können, ist zudem nachvollziehbar. Dennoch ist der </w:t>
      </w:r>
      <w:r w:rsidRPr="00CB3FDD">
        <w:rPr>
          <w:b/>
          <w:sz w:val="22"/>
        </w:rPr>
        <w:t>thematische Fokus zu eng</w:t>
      </w:r>
      <w:r w:rsidRPr="00CB3FDD">
        <w:rPr>
          <w:sz w:val="22"/>
        </w:rPr>
        <w:t xml:space="preserve">, insbesondere auch angesichts der Tatsache, dass es sich um die erste Revision seit Inkrafttreten des BehiG vor 20 Jahren handelt. Insbesondere sind in den Bereichen ÖV (Ziff. </w:t>
      </w:r>
      <w:r w:rsidRPr="00CB3FDD">
        <w:rPr>
          <w:sz w:val="22"/>
        </w:rPr>
        <w:fldChar w:fldCharType="begin"/>
      </w:r>
      <w:r w:rsidRPr="00CB3FDD">
        <w:rPr>
          <w:sz w:val="22"/>
        </w:rPr>
        <w:instrText xml:space="preserve"> REF _Ref161590051 \r \h </w:instrText>
      </w:r>
      <w:r>
        <w:rPr>
          <w:sz w:val="22"/>
        </w:rPr>
        <w:instrText xml:space="preserve"> \* MERGEFORMAT </w:instrText>
      </w:r>
      <w:r w:rsidRPr="00CB3FDD">
        <w:rPr>
          <w:sz w:val="22"/>
        </w:rPr>
      </w:r>
      <w:r w:rsidRPr="00CB3FDD">
        <w:rPr>
          <w:sz w:val="22"/>
        </w:rPr>
        <w:fldChar w:fldCharType="separate"/>
      </w:r>
      <w:r w:rsidR="00663FF0">
        <w:rPr>
          <w:sz w:val="22"/>
        </w:rPr>
        <w:t>3.1</w:t>
      </w:r>
      <w:r w:rsidRPr="00CB3FDD">
        <w:rPr>
          <w:sz w:val="22"/>
        </w:rPr>
        <w:fldChar w:fldCharType="end"/>
      </w:r>
      <w:r w:rsidRPr="00CB3FDD">
        <w:rPr>
          <w:sz w:val="22"/>
        </w:rPr>
        <w:t xml:space="preserve">) und Bau (Ziff. </w:t>
      </w:r>
      <w:r w:rsidRPr="00CB3FDD">
        <w:rPr>
          <w:sz w:val="22"/>
        </w:rPr>
        <w:fldChar w:fldCharType="begin"/>
      </w:r>
      <w:r w:rsidRPr="00CB3FDD">
        <w:rPr>
          <w:sz w:val="22"/>
        </w:rPr>
        <w:instrText xml:space="preserve"> REF _Ref161567734 \r \h </w:instrText>
      </w:r>
      <w:r>
        <w:rPr>
          <w:sz w:val="22"/>
        </w:rPr>
        <w:instrText xml:space="preserve"> \* MERGEFORMAT </w:instrText>
      </w:r>
      <w:r w:rsidRPr="00CB3FDD">
        <w:rPr>
          <w:sz w:val="22"/>
        </w:rPr>
      </w:r>
      <w:r w:rsidRPr="00CB3FDD">
        <w:rPr>
          <w:sz w:val="22"/>
        </w:rPr>
        <w:fldChar w:fldCharType="separate"/>
      </w:r>
      <w:r w:rsidR="00663FF0">
        <w:rPr>
          <w:sz w:val="22"/>
        </w:rPr>
        <w:t>3.2</w:t>
      </w:r>
      <w:r w:rsidRPr="00CB3FDD">
        <w:rPr>
          <w:sz w:val="22"/>
        </w:rPr>
        <w:fldChar w:fldCharType="end"/>
      </w:r>
      <w:r w:rsidRPr="00CB3FDD">
        <w:rPr>
          <w:sz w:val="22"/>
        </w:rPr>
        <w:t xml:space="preserve">) Anpassungen dringend nötig. Die Gelegenheit der BehiG-Revision muss zudem auch genutzt werden, um die Arbeit des EBGB und der Behindertenorganisationen zu stärken (Ziff. </w:t>
      </w:r>
      <w:r w:rsidRPr="00CB3FDD">
        <w:rPr>
          <w:sz w:val="22"/>
        </w:rPr>
        <w:fldChar w:fldCharType="begin"/>
      </w:r>
      <w:r w:rsidRPr="00CB3FDD">
        <w:rPr>
          <w:sz w:val="22"/>
        </w:rPr>
        <w:instrText xml:space="preserve"> REF _Ref161565935 \r \h </w:instrText>
      </w:r>
      <w:r>
        <w:rPr>
          <w:sz w:val="22"/>
        </w:rPr>
        <w:instrText xml:space="preserve"> \* MERGEFORMAT </w:instrText>
      </w:r>
      <w:r w:rsidRPr="00CB3FDD">
        <w:rPr>
          <w:sz w:val="22"/>
        </w:rPr>
      </w:r>
      <w:r w:rsidRPr="00CB3FDD">
        <w:rPr>
          <w:sz w:val="22"/>
        </w:rPr>
        <w:fldChar w:fldCharType="separate"/>
      </w:r>
      <w:r w:rsidR="00663FF0">
        <w:rPr>
          <w:sz w:val="22"/>
        </w:rPr>
        <w:t>6</w:t>
      </w:r>
      <w:r w:rsidRPr="00CB3FDD">
        <w:rPr>
          <w:sz w:val="22"/>
        </w:rPr>
        <w:fldChar w:fldCharType="end"/>
      </w:r>
      <w:r w:rsidRPr="00CB3FDD">
        <w:rPr>
          <w:sz w:val="22"/>
        </w:rPr>
        <w:t>).</w:t>
      </w:r>
    </w:p>
    <w:p w14:paraId="54389D8D" w14:textId="77777777" w:rsidR="00CB3FDD" w:rsidRPr="00CB3FDD" w:rsidRDefault="00CB3FDD" w:rsidP="00CB3FDD">
      <w:pPr>
        <w:pStyle w:val="berschrift2"/>
        <w:numPr>
          <w:ilvl w:val="1"/>
          <w:numId w:val="38"/>
        </w:numPr>
        <w:tabs>
          <w:tab w:val="num" w:pos="568"/>
        </w:tabs>
        <w:ind w:left="568" w:hanging="284"/>
        <w:rPr>
          <w:sz w:val="22"/>
          <w:szCs w:val="22"/>
        </w:rPr>
      </w:pPr>
      <w:bookmarkStart w:id="19" w:name="_Ref161493808"/>
      <w:bookmarkStart w:id="20" w:name="_Ref161493939"/>
      <w:bookmarkStart w:id="21" w:name="_Toc161510791"/>
      <w:bookmarkStart w:id="22" w:name="_Ref161590051"/>
      <w:bookmarkStart w:id="23" w:name="_Toc161749138"/>
      <w:r w:rsidRPr="00CB3FDD">
        <w:rPr>
          <w:sz w:val="22"/>
          <w:szCs w:val="22"/>
        </w:rPr>
        <w:lastRenderedPageBreak/>
        <w:t>Fehlen einer Nachfolgeregelung für den ÖV</w:t>
      </w:r>
      <w:bookmarkEnd w:id="19"/>
      <w:bookmarkEnd w:id="20"/>
      <w:bookmarkEnd w:id="21"/>
      <w:r w:rsidRPr="00CB3FDD">
        <w:rPr>
          <w:sz w:val="22"/>
          <w:szCs w:val="22"/>
        </w:rPr>
        <w:t xml:space="preserve"> (Art. 22 BehiG; Art. 23 VE-BehiG)</w:t>
      </w:r>
      <w:bookmarkEnd w:id="22"/>
      <w:bookmarkEnd w:id="23"/>
    </w:p>
    <w:p w14:paraId="1B010018" w14:textId="77777777" w:rsidR="00CB3FDD" w:rsidRPr="00CB3FDD" w:rsidRDefault="00CB3FDD" w:rsidP="00CB3FDD">
      <w:pPr>
        <w:pStyle w:val="berschrift3"/>
        <w:numPr>
          <w:ilvl w:val="2"/>
          <w:numId w:val="38"/>
        </w:numPr>
        <w:tabs>
          <w:tab w:val="num" w:pos="852"/>
        </w:tabs>
        <w:ind w:left="852" w:hanging="284"/>
        <w:rPr>
          <w:szCs w:val="22"/>
        </w:rPr>
      </w:pPr>
      <w:bookmarkStart w:id="24" w:name="_Toc161749139"/>
      <w:r w:rsidRPr="00CB3FDD">
        <w:rPr>
          <w:szCs w:val="22"/>
        </w:rPr>
        <w:t>Frist nicht eingehalten</w:t>
      </w:r>
      <w:bookmarkEnd w:id="24"/>
    </w:p>
    <w:p w14:paraId="106D5258" w14:textId="77777777" w:rsidR="00CB3FDD" w:rsidRPr="00CB3FDD" w:rsidRDefault="00CB3FDD" w:rsidP="00CB3FDD">
      <w:pPr>
        <w:pStyle w:val="Textkrper"/>
        <w:rPr>
          <w:sz w:val="22"/>
        </w:rPr>
      </w:pPr>
      <w:r w:rsidRPr="00CB3FDD">
        <w:rPr>
          <w:sz w:val="22"/>
        </w:rPr>
        <w:t xml:space="preserve">Bei Inkrafttreten des BehiG am 1. Januar 2004 ging der Gesetzgeber offensichtlich davon aus, dass nach Ablauf der Fristen von Art. 22 Abs. 1 und 2 BehiG sämtliche Kommunikationssysteme, Billettausgaben, Bauten, Anlagen und Fahrzeuge des öffentlichen Verkehrs behindertengerecht angepasst sind. Entsprechend sah er nach Ablauf dieser Fristen keine weiteren Verpflichtungen und Massnahmen vor. Die ursprünglich auch für Bauten, Anlagen und Fahrzeuge auf 10 Jahre festgelegte Frist wurde nach Durchführung des Vernehmlassungsverfahrens zugunsten der Gemeinwesen und Transportunternehmen sogar noch angepasst: Eine </w:t>
      </w:r>
      <w:r w:rsidRPr="00CB3FDD">
        <w:rPr>
          <w:b/>
          <w:bCs/>
          <w:sz w:val="22"/>
        </w:rPr>
        <w:t>Anpassungsfrist von 20 Jahren</w:t>
      </w:r>
      <w:r w:rsidRPr="00CB3FDD">
        <w:rPr>
          <w:sz w:val="22"/>
        </w:rPr>
        <w:t xml:space="preserve"> erschien auf Grund der Langlebigkeit der Infrastruktur und Fahrzeuge als </w:t>
      </w:r>
      <w:r w:rsidRPr="00CB3FDD">
        <w:rPr>
          <w:b/>
          <w:bCs/>
          <w:sz w:val="22"/>
        </w:rPr>
        <w:t>angemessen</w:t>
      </w:r>
      <w:r w:rsidRPr="00CB3FDD">
        <w:rPr>
          <w:sz w:val="22"/>
        </w:rPr>
        <w:t>.</w:t>
      </w:r>
      <w:bookmarkStart w:id="25" w:name="_Ref161593291"/>
      <w:r w:rsidRPr="00CB3FDD">
        <w:rPr>
          <w:rStyle w:val="Funotenanker"/>
          <w:sz w:val="22"/>
        </w:rPr>
        <w:footnoteReference w:id="11"/>
      </w:r>
      <w:bookmarkEnd w:id="25"/>
    </w:p>
    <w:p w14:paraId="4CFCA13B" w14:textId="77777777" w:rsidR="00CB3FDD" w:rsidRPr="00CB3FDD" w:rsidRDefault="00CB3FDD" w:rsidP="00CB3FDD">
      <w:pPr>
        <w:pStyle w:val="Textkrper"/>
        <w:rPr>
          <w:sz w:val="22"/>
        </w:rPr>
      </w:pPr>
      <w:r w:rsidRPr="00CB3FDD">
        <w:rPr>
          <w:sz w:val="22"/>
        </w:rPr>
        <w:t xml:space="preserve">Diese Fristen von 10 (Kommunikationssysteme und Billettausgabe) bzw. 20 Jahren (Bauten, Anlagen und Fahrzeuge) für die Anpassung des öffentlichen Verkehrs sind nun per Ende 2013 bzw. per Ende 2023 abgelaufen. Die </w:t>
      </w:r>
      <w:r w:rsidRPr="00CB3FDD">
        <w:rPr>
          <w:b/>
          <w:bCs/>
          <w:sz w:val="22"/>
        </w:rPr>
        <w:t>Bilanz ist ernüchternd</w:t>
      </w:r>
      <w:r w:rsidRPr="00CB3FDD">
        <w:rPr>
          <w:sz w:val="22"/>
        </w:rPr>
        <w:t xml:space="preserve">: </w:t>
      </w:r>
    </w:p>
    <w:p w14:paraId="12C2352B" w14:textId="77777777" w:rsidR="00CB3FDD" w:rsidRPr="00CB3FDD" w:rsidRDefault="00CB3FDD" w:rsidP="00CB3FDD">
      <w:pPr>
        <w:pStyle w:val="Textkrper"/>
        <w:rPr>
          <w:sz w:val="22"/>
        </w:rPr>
      </w:pPr>
      <w:r w:rsidRPr="00CB3FDD">
        <w:rPr>
          <w:sz w:val="22"/>
        </w:rPr>
        <w:t xml:space="preserve">Im </w:t>
      </w:r>
      <w:r w:rsidRPr="00CB3FDD">
        <w:rPr>
          <w:b/>
          <w:bCs/>
          <w:sz w:val="22"/>
        </w:rPr>
        <w:t>Eisenbahnverkehr</w:t>
      </w:r>
      <w:r w:rsidRPr="00CB3FDD">
        <w:rPr>
          <w:sz w:val="22"/>
        </w:rPr>
        <w:t xml:space="preserve"> entsprachen gemäss dem neusten Standbericht des BAV per Ende 2022 nur gerade 992 der rund 1800 Stationen den BehiG-Vorgaben, mit der Prognose, dass bis Ende 2023 weitere 106 Bahnhöfe baulich angepasst werden.</w:t>
      </w:r>
      <w:r w:rsidRPr="00CB3FDD">
        <w:rPr>
          <w:rStyle w:val="Funotenanker"/>
          <w:sz w:val="22"/>
        </w:rPr>
        <w:footnoteReference w:id="12"/>
      </w:r>
      <w:r w:rsidRPr="00CB3FDD">
        <w:rPr>
          <w:sz w:val="22"/>
        </w:rPr>
        <w:t xml:space="preserve"> Gemäss diesen Zahlen entsprechen nach Ablauf der gesetzlichen Frist somit 1098 von den rund 1800 Stationen des Eisenbahnverkehrs den BehiG-Vorgaben. Dies sind </w:t>
      </w:r>
      <w:r w:rsidRPr="00CB3FDD">
        <w:rPr>
          <w:b/>
          <w:bCs/>
          <w:sz w:val="22"/>
        </w:rPr>
        <w:t>lediglich</w:t>
      </w:r>
      <w:r w:rsidRPr="00CB3FDD">
        <w:rPr>
          <w:sz w:val="22"/>
        </w:rPr>
        <w:t xml:space="preserve"> </w:t>
      </w:r>
      <w:r w:rsidRPr="00CB3FDD">
        <w:rPr>
          <w:b/>
          <w:bCs/>
          <w:sz w:val="22"/>
        </w:rPr>
        <w:t>61 % der Stationen</w:t>
      </w:r>
      <w:r w:rsidRPr="00CB3FDD">
        <w:rPr>
          <w:sz w:val="22"/>
        </w:rPr>
        <w:t xml:space="preserve">. Noch viel prekärer ist die Lage beim </w:t>
      </w:r>
      <w:r w:rsidRPr="00CB3FDD">
        <w:rPr>
          <w:b/>
          <w:bCs/>
          <w:sz w:val="22"/>
        </w:rPr>
        <w:t>Busverkehr</w:t>
      </w:r>
      <w:r w:rsidRPr="00CB3FDD">
        <w:rPr>
          <w:sz w:val="22"/>
        </w:rPr>
        <w:t xml:space="preserve">: Der Bundesrat ging in seinem Bericht zum Postulat 20.3874 Reynard davon aus, dass nach Ablauf der gesetzlichen Frist </w:t>
      </w:r>
      <w:r w:rsidRPr="00CB3FDD">
        <w:rPr>
          <w:b/>
          <w:bCs/>
          <w:sz w:val="22"/>
        </w:rPr>
        <w:t>lediglich 33 % der Bushaltestellen</w:t>
      </w:r>
      <w:r w:rsidRPr="00CB3FDD">
        <w:rPr>
          <w:sz w:val="22"/>
        </w:rPr>
        <w:t xml:space="preserve"> den BehiG-Vorgaben entsprechen.</w:t>
      </w:r>
      <w:bookmarkStart w:id="26" w:name="_Ref161592545"/>
      <w:r w:rsidRPr="00CB3FDD">
        <w:rPr>
          <w:rStyle w:val="Funotenanker"/>
          <w:sz w:val="22"/>
        </w:rPr>
        <w:footnoteReference w:id="13"/>
      </w:r>
      <w:bookmarkEnd w:id="26"/>
      <w:r w:rsidRPr="00CB3FDD">
        <w:rPr>
          <w:sz w:val="22"/>
        </w:rPr>
        <w:t xml:space="preserve"> Auch bei den Eisenbahnfahrzeugen des Regionalverkehrs (81 %), den Tramhaltestellen (66 %), den Tramfahrzeugen (84 %), der Seilbahninfrastruktur und den Seilbahnfahrzeugen (73 %) sowie den Schiffen (97 %) und Schifflandungsanlagen (97 %) besteht </w:t>
      </w:r>
      <w:r w:rsidRPr="00CB3FDD">
        <w:rPr>
          <w:b/>
          <w:bCs/>
          <w:sz w:val="22"/>
        </w:rPr>
        <w:t>weiterhin Handlungsbedarf</w:t>
      </w:r>
      <w:r w:rsidRPr="00CB3FDD">
        <w:rPr>
          <w:sz w:val="22"/>
        </w:rPr>
        <w:t>.</w:t>
      </w:r>
      <w:r w:rsidRPr="00CB3FDD">
        <w:rPr>
          <w:rStyle w:val="Funotenanker"/>
          <w:sz w:val="22"/>
        </w:rPr>
        <w:footnoteReference w:id="14"/>
      </w:r>
      <w:r w:rsidRPr="00CB3FDD">
        <w:rPr>
          <w:sz w:val="22"/>
        </w:rPr>
        <w:t xml:space="preserve"> Anzumerken ist, dass diese Zahlen auf den eigenen Angaben der Infrastrukturinhaber:innen und Transportunternehmen beruhen.</w:t>
      </w:r>
      <w:r w:rsidRPr="00CB3FDD">
        <w:rPr>
          <w:rStyle w:val="Funotenanker"/>
          <w:sz w:val="22"/>
        </w:rPr>
        <w:footnoteReference w:id="15"/>
      </w:r>
    </w:p>
    <w:p w14:paraId="3F7E7934" w14:textId="77777777" w:rsidR="00CB3FDD" w:rsidRPr="00CB3FDD" w:rsidRDefault="00CB3FDD" w:rsidP="00CB3FDD">
      <w:pPr>
        <w:pStyle w:val="Textkrper"/>
        <w:rPr>
          <w:sz w:val="22"/>
        </w:rPr>
      </w:pPr>
      <w:r w:rsidRPr="00CB3FDD">
        <w:rPr>
          <w:sz w:val="22"/>
          <w:lang w:eastAsia="de-CH"/>
        </w:rPr>
        <w:t xml:space="preserve">Der aktuell als </w:t>
      </w:r>
      <w:r w:rsidRPr="00CB3FDD">
        <w:rPr>
          <w:b/>
          <w:bCs/>
          <w:sz w:val="22"/>
          <w:lang w:eastAsia="de-CH"/>
        </w:rPr>
        <w:t xml:space="preserve">Überbrückungsmassnahme </w:t>
      </w:r>
      <w:r w:rsidRPr="00CB3FDD">
        <w:rPr>
          <w:sz w:val="22"/>
          <w:lang w:eastAsia="de-CH"/>
        </w:rPr>
        <w:t xml:space="preserve">angebotene </w:t>
      </w:r>
      <w:r w:rsidRPr="00CB3FDD">
        <w:rPr>
          <w:b/>
          <w:bCs/>
          <w:sz w:val="22"/>
          <w:lang w:eastAsia="de-CH"/>
        </w:rPr>
        <w:t xml:space="preserve">Shuttle-Dienst </w:t>
      </w:r>
      <w:r w:rsidRPr="00CB3FDD">
        <w:rPr>
          <w:sz w:val="22"/>
          <w:lang w:eastAsia="de-CH"/>
        </w:rPr>
        <w:t xml:space="preserve">ist </w:t>
      </w:r>
      <w:r w:rsidRPr="00CB3FDD">
        <w:rPr>
          <w:b/>
          <w:bCs/>
          <w:sz w:val="22"/>
          <w:lang w:eastAsia="de-CH"/>
        </w:rPr>
        <w:t>weder autonom noch</w:t>
      </w:r>
      <w:r w:rsidRPr="00CB3FDD">
        <w:rPr>
          <w:sz w:val="22"/>
          <w:lang w:eastAsia="de-CH"/>
        </w:rPr>
        <w:t xml:space="preserve"> – aufgrund der Voranmeldepflicht – </w:t>
      </w:r>
      <w:r w:rsidRPr="00CB3FDD">
        <w:rPr>
          <w:b/>
          <w:bCs/>
          <w:sz w:val="22"/>
          <w:lang w:eastAsia="de-CH"/>
        </w:rPr>
        <w:t>spontan</w:t>
      </w:r>
      <w:r w:rsidRPr="00CB3FDD">
        <w:rPr>
          <w:sz w:val="22"/>
          <w:lang w:eastAsia="de-CH"/>
        </w:rPr>
        <w:t xml:space="preserve">. Das mit dem Shuttle-Dienst gegenüber der Reise im öffentlichen Verkehr verbundene vermehrte Umsteigen ist nicht nur mühsam, sondern führt auch zu längeren Reisezeiten. Zudem führt der Shuttle-Dienst zu einer Segregation von Menschen mit Behinderungen, da sie nicht mit allen anderen im öffentlichen Verkehr reisen können. Auch dieser </w:t>
      </w:r>
      <w:r w:rsidRPr="00CB3FDD">
        <w:rPr>
          <w:b/>
          <w:bCs/>
          <w:sz w:val="22"/>
          <w:lang w:eastAsia="de-CH"/>
        </w:rPr>
        <w:t>Missstand</w:t>
      </w:r>
      <w:r w:rsidRPr="00CB3FDD">
        <w:rPr>
          <w:sz w:val="22"/>
          <w:lang w:eastAsia="de-CH"/>
        </w:rPr>
        <w:t xml:space="preserve"> ist ist </w:t>
      </w:r>
      <w:r w:rsidRPr="00CB3FDD">
        <w:rPr>
          <w:b/>
          <w:bCs/>
          <w:sz w:val="22"/>
          <w:lang w:eastAsia="de-CH"/>
        </w:rPr>
        <w:t>so rasch wie möglich zu beheben</w:t>
      </w:r>
      <w:r w:rsidRPr="00CB3FDD">
        <w:rPr>
          <w:sz w:val="22"/>
          <w:lang w:eastAsia="de-CH"/>
        </w:rPr>
        <w:t xml:space="preserve"> und darf nicht zur Dauerlösung werden. </w:t>
      </w:r>
    </w:p>
    <w:p w14:paraId="71FC9DC6" w14:textId="77777777" w:rsidR="00CB3FDD" w:rsidRPr="00CB3FDD" w:rsidRDefault="00CB3FDD" w:rsidP="00CB3FDD">
      <w:pPr>
        <w:pStyle w:val="Textkrper"/>
        <w:rPr>
          <w:sz w:val="22"/>
        </w:rPr>
      </w:pPr>
      <w:r w:rsidRPr="00CB3FDD">
        <w:rPr>
          <w:sz w:val="22"/>
        </w:rPr>
        <w:t xml:space="preserve">Es ist somit unbestritten, dass das </w:t>
      </w:r>
      <w:r w:rsidRPr="00CB3FDD">
        <w:rPr>
          <w:b/>
          <w:bCs/>
          <w:sz w:val="22"/>
        </w:rPr>
        <w:t xml:space="preserve">Ziel des BehiG eines ab 1. Januar 2024 auch für Menschen mit Behinderungen spontan und autonom benutzbaren öffentlichen Verkehrs </w:t>
      </w:r>
      <w:r w:rsidRPr="00CB3FDD">
        <w:rPr>
          <w:b/>
          <w:bCs/>
          <w:sz w:val="22"/>
        </w:rPr>
        <w:lastRenderedPageBreak/>
        <w:t xml:space="preserve">weit verfehlt </w:t>
      </w:r>
      <w:r w:rsidRPr="00CB3FDD">
        <w:rPr>
          <w:sz w:val="22"/>
        </w:rPr>
        <w:t xml:space="preserve">worden ist. </w:t>
      </w:r>
      <w:r w:rsidRPr="00CB3FDD">
        <w:rPr>
          <w:sz w:val="22"/>
          <w:lang w:eastAsia="de-CH"/>
        </w:rPr>
        <w:t xml:space="preserve">Dabei handelt es sich beim öffentlichen Verkehr um den </w:t>
      </w:r>
      <w:r w:rsidRPr="00CB3FDD">
        <w:rPr>
          <w:b/>
          <w:bCs/>
          <w:sz w:val="22"/>
          <w:lang w:eastAsia="de-CH"/>
        </w:rPr>
        <w:t xml:space="preserve">am ausführlichsten geregelten Bereich </w:t>
      </w:r>
      <w:r w:rsidRPr="00CB3FDD">
        <w:rPr>
          <w:sz w:val="22"/>
          <w:lang w:eastAsia="de-CH"/>
        </w:rPr>
        <w:t xml:space="preserve">und </w:t>
      </w:r>
      <w:r w:rsidRPr="00CB3FDD">
        <w:rPr>
          <w:b/>
          <w:bCs/>
          <w:sz w:val="22"/>
          <w:lang w:eastAsia="de-CH"/>
        </w:rPr>
        <w:t>einen der drei zentralen Punkte</w:t>
      </w:r>
      <w:r w:rsidRPr="00CB3FDD">
        <w:rPr>
          <w:rStyle w:val="Funotenanker"/>
          <w:bCs/>
          <w:sz w:val="22"/>
          <w:lang w:eastAsia="de-CH"/>
        </w:rPr>
        <w:footnoteReference w:id="16"/>
      </w:r>
      <w:r w:rsidRPr="00CB3FDD">
        <w:rPr>
          <w:b/>
          <w:bCs/>
          <w:sz w:val="22"/>
          <w:lang w:eastAsia="de-CH"/>
        </w:rPr>
        <w:t xml:space="preserve"> des BehiG.</w:t>
      </w:r>
      <w:r w:rsidRPr="00CB3FDD">
        <w:rPr>
          <w:sz w:val="22"/>
          <w:lang w:eastAsia="de-CH"/>
        </w:rPr>
        <w:t xml:space="preserve"> Der öffentliche Verkehr ist für den Alltag von Menschen mit Behinderungen und deren gesellschaftliche Teilhabe zentral. </w:t>
      </w:r>
    </w:p>
    <w:p w14:paraId="033DA5A0" w14:textId="77777777" w:rsidR="00CB3FDD" w:rsidRPr="00CB3FDD" w:rsidRDefault="00CB3FDD" w:rsidP="00CB3FDD">
      <w:pPr>
        <w:pStyle w:val="berschrift3"/>
        <w:numPr>
          <w:ilvl w:val="2"/>
          <w:numId w:val="38"/>
        </w:numPr>
        <w:tabs>
          <w:tab w:val="num" w:pos="852"/>
        </w:tabs>
        <w:ind w:left="852" w:hanging="284"/>
        <w:rPr>
          <w:szCs w:val="22"/>
        </w:rPr>
      </w:pPr>
      <w:bookmarkStart w:id="27" w:name="_Toc161749140"/>
      <w:r w:rsidRPr="00CB3FDD">
        <w:rPr>
          <w:szCs w:val="22"/>
        </w:rPr>
        <w:t>Falsches Signal an Infrastrukturinhaber:innen und Transportunternehmen</w:t>
      </w:r>
      <w:bookmarkEnd w:id="27"/>
    </w:p>
    <w:p w14:paraId="6F07A5CB" w14:textId="77777777" w:rsidR="00CB3FDD" w:rsidRPr="00CB3FDD" w:rsidRDefault="00CB3FDD" w:rsidP="00CB3FDD">
      <w:pPr>
        <w:pStyle w:val="Textkrper"/>
        <w:rPr>
          <w:sz w:val="22"/>
        </w:rPr>
      </w:pPr>
      <w:r w:rsidRPr="00CB3FDD">
        <w:rPr>
          <w:sz w:val="22"/>
        </w:rPr>
        <w:t xml:space="preserve">Vor diesem Hintergrund ist nicht nachvollziehbar, dass die vorliegende Teilrevision des BehiG </w:t>
      </w:r>
      <w:r w:rsidRPr="00CB3FDD">
        <w:rPr>
          <w:b/>
          <w:sz w:val="22"/>
        </w:rPr>
        <w:t xml:space="preserve">keine Nachfolgelösung zur Sicherstellung der Umsetzung der nach wie vor bestehenden Verpflichtungen im Bereich des öffentlichen Verkehrs </w:t>
      </w:r>
      <w:r w:rsidRPr="00CB3FDD">
        <w:rPr>
          <w:sz w:val="22"/>
        </w:rPr>
        <w:t>beinhaltet. Die Teilrevision sieht lediglich die Beibehaltung von</w:t>
      </w:r>
      <w:r w:rsidRPr="00CB3FDD">
        <w:rPr>
          <w:sz w:val="22"/>
          <w:lang w:eastAsia="de-CH"/>
        </w:rPr>
        <w:t xml:space="preserve"> Art. 22 BehiG vor, «damit die Anpassungspflicht auf die gesetzliche Frist hin eindeutig bleibt und es keine Zweifel an der weiterbestehenden Verbindlichkeit gibt»</w:t>
      </w:r>
      <w:r w:rsidRPr="00CB3FDD">
        <w:rPr>
          <w:rStyle w:val="Funotenanker"/>
          <w:sz w:val="22"/>
          <w:lang w:eastAsia="de-CH"/>
        </w:rPr>
        <w:footnoteReference w:id="17"/>
      </w:r>
      <w:r w:rsidRPr="00CB3FDD">
        <w:rPr>
          <w:sz w:val="22"/>
          <w:lang w:eastAsia="de-CH"/>
        </w:rPr>
        <w:t xml:space="preserve">. Es erschliesst sich jedoch nicht, weshalb keine neuen Massnahmen für eine rasche Umsetzung dieser weiterhin bestehenden Verbindlichkeit getroffen wurden. Dies ist nicht nur ein </w:t>
      </w:r>
      <w:r w:rsidRPr="00CB3FDD">
        <w:rPr>
          <w:b/>
          <w:bCs/>
          <w:sz w:val="22"/>
          <w:lang w:eastAsia="de-CH"/>
        </w:rPr>
        <w:t>falsches Signal</w:t>
      </w:r>
      <w:r w:rsidRPr="00CB3FDD">
        <w:rPr>
          <w:sz w:val="22"/>
          <w:lang w:eastAsia="de-CH"/>
        </w:rPr>
        <w:t xml:space="preserve"> an die Infrastrukturinhaber:innen und Transportunternehmen, die ihrer gesetzlichen Verpflichtung offensichtlich nicht (genügend) nachgekommen sind. </w:t>
      </w:r>
      <w:r w:rsidRPr="00CB3FDD">
        <w:rPr>
          <w:sz w:val="22"/>
        </w:rPr>
        <w:t xml:space="preserve">Ohne Festlegung einer neuen, kurzen Umsetzungsfrist sowie weiterer Massnahmen ist vor dem Hintergrund der bisherigen Erfahrungen vorprogrammiert, dass Menschen mit Behinderungen noch lange auf einen spontan und autonom nutzbaren öffentlichen Verkehr warten müssen. Entsprechend </w:t>
      </w:r>
      <w:r w:rsidRPr="00CB3FDD">
        <w:rPr>
          <w:b/>
          <w:sz w:val="22"/>
        </w:rPr>
        <w:t>unverständlich</w:t>
      </w:r>
      <w:r w:rsidRPr="00CB3FDD">
        <w:rPr>
          <w:sz w:val="22"/>
        </w:rPr>
        <w:t xml:space="preserve"> ist der bewusste Entscheid des Bundesrates</w:t>
      </w:r>
      <w:r w:rsidRPr="00CB3FDD">
        <w:rPr>
          <w:rStyle w:val="Funotenanker"/>
          <w:sz w:val="22"/>
        </w:rPr>
        <w:footnoteReference w:id="18"/>
      </w:r>
      <w:r w:rsidRPr="00CB3FDD">
        <w:rPr>
          <w:sz w:val="22"/>
        </w:rPr>
        <w:t xml:space="preserve">, die </w:t>
      </w:r>
      <w:r w:rsidRPr="00CB3FDD">
        <w:rPr>
          <w:b/>
          <w:sz w:val="22"/>
        </w:rPr>
        <w:t>Herausforderung der Anpassung des Bereichs des öffentlichen Verkehrs aus der vorgeschlagenen Teilrevision auszunehmen</w:t>
      </w:r>
      <w:r w:rsidRPr="00CB3FDD">
        <w:rPr>
          <w:sz w:val="22"/>
        </w:rPr>
        <w:t xml:space="preserve">. </w:t>
      </w:r>
    </w:p>
    <w:p w14:paraId="13703F35"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lang w:eastAsia="de-CH"/>
        </w:rPr>
      </w:pPr>
      <w:r w:rsidRPr="00CB3FDD">
        <w:rPr>
          <w:b/>
          <w:sz w:val="22"/>
          <w:lang w:eastAsia="de-CH"/>
        </w:rPr>
        <w:t>Forderungen</w:t>
      </w:r>
    </w:p>
    <w:p w14:paraId="5435925E" w14:textId="16F6661A" w:rsidR="00CB3FDD" w:rsidRPr="00CB3FDD" w:rsidRDefault="00E93B6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Pr>
          <w:sz w:val="22"/>
          <w:lang w:eastAsia="de-CH"/>
        </w:rPr>
        <w:t>Pro Infirmis</w:t>
      </w:r>
      <w:r w:rsidR="00CB3FDD" w:rsidRPr="00CB3FDD">
        <w:rPr>
          <w:sz w:val="22"/>
          <w:lang w:eastAsia="de-CH"/>
        </w:rPr>
        <w:t xml:space="preserve"> fordert, dass die BehiG-Revision punkto ÖV folgende Massnahmen vorsieht</w:t>
      </w:r>
      <w:r w:rsidR="00CB3FDD" w:rsidRPr="00CB3FDD">
        <w:rPr>
          <w:rStyle w:val="Funotenzeichen"/>
          <w:sz w:val="22"/>
        </w:rPr>
        <w:footnoteReference w:id="19"/>
      </w:r>
      <w:r w:rsidR="00CB3FDD" w:rsidRPr="00CB3FDD">
        <w:rPr>
          <w:sz w:val="22"/>
          <w:lang w:eastAsia="de-CH"/>
        </w:rPr>
        <w:t xml:space="preserve">: </w:t>
      </w:r>
    </w:p>
    <w:p w14:paraId="263D103E"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-Eine neue gesetzliche Frist zur Umsetzung eines behindertengerechten öffentlichen Verkehrs bis spätestens 2030</w:t>
      </w:r>
    </w:p>
    <w:p w14:paraId="0FA4EA2D"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-Eine Etappierung mit verbindlichen Zwischenzielen</w:t>
      </w:r>
    </w:p>
    <w:p w14:paraId="44B8770C"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-Eine griffige Kontrolle der Zielerreichung und damit verbundene Sanktionen</w:t>
      </w:r>
    </w:p>
    <w:p w14:paraId="73BBD1C3"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-Eine solide und zweckgebundene Finanzierung für die BehiG-Umsetzungsarbeiten</w:t>
      </w:r>
    </w:p>
    <w:p w14:paraId="076B0DD8"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Es braucht eine gesetzlich verankerte und klare Verantwortungsübernahme durch das Bundesamt für Verkehr.  Kantone und Gemeinden müssen mit klaren Vorgaben stärker in die Pflicht genommen werden.</w:t>
      </w:r>
    </w:p>
    <w:p w14:paraId="30FECF71" w14:textId="77777777" w:rsidR="00CB3FDD" w:rsidRPr="00CB3FDD" w:rsidRDefault="00CB3FDD" w:rsidP="00CB3FDD">
      <w:pPr>
        <w:pStyle w:val="berschrift3"/>
        <w:rPr>
          <w:szCs w:val="22"/>
          <w:lang w:eastAsia="de-CH"/>
        </w:rPr>
      </w:pPr>
      <w:bookmarkStart w:id="28" w:name="_Toc161749141"/>
      <w:r w:rsidRPr="00CB3FDD">
        <w:rPr>
          <w:szCs w:val="22"/>
        </w:rPr>
        <w:t>3.1.3 Korrektur Geltungsbereich verpasst</w:t>
      </w:r>
      <w:bookmarkEnd w:id="28"/>
    </w:p>
    <w:p w14:paraId="3A68EFD4" w14:textId="77777777" w:rsidR="00CB3FDD" w:rsidRPr="00CB3FDD" w:rsidRDefault="00CB3FDD" w:rsidP="00CB3FDD">
      <w:pPr>
        <w:pStyle w:val="Textkrper"/>
        <w:rPr>
          <w:sz w:val="22"/>
          <w:lang w:eastAsia="de-CH"/>
        </w:rPr>
      </w:pPr>
      <w:r w:rsidRPr="00CB3FDD">
        <w:rPr>
          <w:sz w:val="22"/>
          <w:lang w:eastAsia="de-CH"/>
        </w:rPr>
        <w:t>Hinzu kommt, dass es mit der vorliegenden Teilrevision auch</w:t>
      </w:r>
      <w:r w:rsidRPr="00CB3FDD">
        <w:rPr>
          <w:b/>
          <w:sz w:val="22"/>
          <w:lang w:eastAsia="de-CH"/>
        </w:rPr>
        <w:t xml:space="preserve"> verpasst wurde, die Begrenzung des Geltungsbereichs und der Rechtsansprüche des BehiG auf konzessionierte Unternehmen zu korrigieren </w:t>
      </w:r>
      <w:r w:rsidRPr="00CB3FDD">
        <w:rPr>
          <w:sz w:val="22"/>
          <w:lang w:eastAsia="de-CH"/>
        </w:rPr>
        <w:t xml:space="preserve">(Art. 3 lit. e, Art. 7 Abs. 2 und Art. 8 Abs. 1 BehiG). Diese entspricht als Folge von Anpassungen im Verkehrsrecht ungewollt nicht mehr der Absicht des BehiG-Gesetzgebers, gemäss welcher Dienstleistungen in einem bundesrechtlichen Monopol strengeren Verpflichtungen nach BehiG unterworfen werden sollten als Dienstleistungen Privater. Dies unabhängig davon, ob die in Frage stehenden Unternehmen </w:t>
      </w:r>
      <w:r w:rsidRPr="00CB3FDD">
        <w:rPr>
          <w:sz w:val="22"/>
          <w:lang w:eastAsia="de-CH"/>
        </w:rPr>
        <w:lastRenderedPageBreak/>
        <w:t>über eine Konzession verfügen, oder ob sie im Rahmen einer Bewilligung oder gar nur einer Meldepflicht ihre einem bundesrechtlichen Monopol unterstehende Tätigkeit ausüben.</w:t>
      </w:r>
      <w:r w:rsidRPr="00CB3FDD">
        <w:rPr>
          <w:rStyle w:val="Funotenzeichen"/>
          <w:sz w:val="22"/>
          <w:lang w:eastAsia="de-CH"/>
        </w:rPr>
        <w:footnoteReference w:id="20"/>
      </w:r>
    </w:p>
    <w:p w14:paraId="66C56052" w14:textId="77777777" w:rsidR="00CB3FDD" w:rsidRPr="00CB3FDD" w:rsidRDefault="00CB3FDD" w:rsidP="00CB3FDD">
      <w:pPr>
        <w:pStyle w:val="Textkrper"/>
        <w:rPr>
          <w:sz w:val="22"/>
          <w:lang w:eastAsia="de-CH"/>
        </w:rPr>
      </w:pPr>
      <w:r w:rsidRPr="00CB3FDD">
        <w:rPr>
          <w:sz w:val="22"/>
          <w:lang w:eastAsia="de-CH"/>
        </w:rPr>
        <w:t xml:space="preserve">Sowohl der Geltungsbereich des BehiG bei Dienstleistungen gemäss Art. 3 lit. e als auch die Rechtsansprüche gemäss Art. 7 Abs. 2 und Art. 8 Abs. 1 nehmen auf «konzessionierte Unternehmen» Bezug. Bei Inkrafttreten des BehiG war für das Anbieten einer regelmässigen und gewerbsmässigen Transportleistung des öffentlichen Verkehrs grundsätzlich noch eine Konzession erforderlich. Seither ist diese </w:t>
      </w:r>
      <w:r w:rsidRPr="00CB3FDD">
        <w:rPr>
          <w:b/>
          <w:bCs/>
          <w:sz w:val="22"/>
          <w:lang w:eastAsia="de-CH"/>
        </w:rPr>
        <w:t>Konzessionspflicht in vielen Bereichen</w:t>
      </w:r>
      <w:r w:rsidRPr="00CB3FDD">
        <w:rPr>
          <w:sz w:val="22"/>
          <w:lang w:eastAsia="de-CH"/>
        </w:rPr>
        <w:t xml:space="preserve"> jedoch </w:t>
      </w:r>
      <w:r w:rsidRPr="00CB3FDD">
        <w:rPr>
          <w:b/>
          <w:bCs/>
          <w:sz w:val="22"/>
          <w:lang w:eastAsia="de-CH"/>
        </w:rPr>
        <w:t xml:space="preserve">durch eine Bewilligungspflicht ersetzt </w:t>
      </w:r>
      <w:r w:rsidRPr="00CB3FDD">
        <w:rPr>
          <w:sz w:val="22"/>
          <w:lang w:eastAsia="de-CH"/>
        </w:rPr>
        <w:t xml:space="preserve">worden. Insbesondere im Rahmen der Bahnreform wurde die Bewilligungspflicht ausgedehnt und die Konzessionspflicht reduziert. So sieht z.B. das 2010 in Kraft getretene Bundesgesetz über die Personenbeförderung (Personenbeförderungsgesetz, PBG; SR 745.1) in Art. 8 für den grenzüberschreitenden Verkehr lediglich noch eine Bewilligungspflicht vor. Weiter ist z.B. auch im </w:t>
      </w:r>
      <w:r w:rsidRPr="00CB3FDD">
        <w:rPr>
          <w:sz w:val="22"/>
          <w:lang w:val="de-DE"/>
        </w:rPr>
        <w:t>innereuropäischen Luftverkehr seit 2010 generell keine Streckenkonzession mehr erforderlich.</w:t>
      </w:r>
      <w:r w:rsidRPr="00CB3FDD">
        <w:rPr>
          <w:rStyle w:val="Funotenanker"/>
          <w:sz w:val="22"/>
          <w:lang w:eastAsia="de-CH"/>
        </w:rPr>
        <w:footnoteReference w:id="21"/>
      </w:r>
      <w:r w:rsidRPr="00CB3FDD">
        <w:rPr>
          <w:sz w:val="22"/>
          <w:lang w:eastAsia="de-CH"/>
        </w:rPr>
        <w:t xml:space="preserve"> Diesem Umstand trug der Gesetzgeber im Rahmen der Bahnreformen 2/1 und 2/2 im BehiG jedoch nicht Rechnung. Eine Anpassung des BehiG, die klargestellt hätte, dass auch die nicht mehr der Konzessions- sondern nur noch der Bewilligungspflicht unterstehenden Transportleistungen weiterhin strenger verpflichtet sind (Benachteiligungsverbot nach Art. 2 Abs. 3 und 4; Art. 7 Abs. 2 und 8 Abs. 1 BehiG) als private Unternehmen (Diskriminierungsverbot nach Art. 6 und Art. 8 Abs. 3 BehiG), unterblieb beide Male.</w:t>
      </w:r>
      <w:r w:rsidRPr="00CB3FDD">
        <w:rPr>
          <w:rStyle w:val="Funotenzeichen"/>
          <w:sz w:val="22"/>
          <w:lang w:eastAsia="de-CH"/>
        </w:rPr>
        <w:footnoteReference w:id="22"/>
      </w:r>
      <w:r w:rsidRPr="00CB3FDD">
        <w:rPr>
          <w:sz w:val="22"/>
          <w:lang w:eastAsia="de-CH"/>
        </w:rPr>
        <w:t xml:space="preserve"> Eine Begrenzung dieser Verpflichtung mit Bezug auf Unternehmen, die gestützt auf eine Bewilligung oder eine Meldepflicht in einem Monopol des Bundes tätig sind, entspricht nicht dem Willen des Gesetzgebers</w:t>
      </w:r>
      <w:r w:rsidRPr="00CB3FDD">
        <w:rPr>
          <w:rStyle w:val="Funotenanker"/>
          <w:sz w:val="22"/>
          <w:lang w:eastAsia="de-CH"/>
        </w:rPr>
        <w:footnoteReference w:id="23"/>
      </w:r>
      <w:r w:rsidRPr="00CB3FDD">
        <w:rPr>
          <w:sz w:val="22"/>
          <w:lang w:eastAsia="de-CH"/>
        </w:rPr>
        <w:t xml:space="preserve">. Die erneute Nichtanpassung der betreffenden Bestimmungen an die geänderten rechtlichen Grundlagen auch in der vorliegenden Teilrevision führt zu Rechtsunsicherheit. Diese bleibt insbesondere deshalb bestehen, weil auf Ebene der materiellen Anforderungen weiterhin unterschieden wird je nachdem, ob der Anbieter der Dienstleitung das Gemeinwesen oder ein Privater ist (Benachteiligungsverbot/Diskriminierungsverbot). </w:t>
      </w:r>
    </w:p>
    <w:p w14:paraId="3D0D0E7E"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b/>
          <w:sz w:val="22"/>
          <w:lang w:eastAsia="de-CH"/>
        </w:rPr>
        <w:t>Anpassungsvorschläge</w:t>
      </w:r>
    </w:p>
    <w:p w14:paraId="38F1D669"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lang w:eastAsia="de-CH"/>
        </w:rPr>
      </w:pPr>
      <w:r w:rsidRPr="00CB3FDD">
        <w:rPr>
          <w:b/>
          <w:sz w:val="22"/>
          <w:lang w:eastAsia="de-CH"/>
        </w:rPr>
        <w:t xml:space="preserve">a. Art. 3 Bst. e </w:t>
      </w:r>
    </w:p>
    <w:p w14:paraId="30BB3D6E"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Das Gesetz gilt für:</w:t>
      </w:r>
    </w:p>
    <w:p w14:paraId="1A308326"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 xml:space="preserve">e. grundsätzlich von jedermann beanspruchbare Dienstleistungen Privater, </w:t>
      </w:r>
      <w:r w:rsidRPr="00CB3FDD">
        <w:rPr>
          <w:strike/>
          <w:sz w:val="22"/>
          <w:lang w:eastAsia="de-CH"/>
        </w:rPr>
        <w:t xml:space="preserve">der Unternehmen, die eine Infrastrukturkonzession nach Artikel 5 des Eisenbahngesetzes vom 20. Dezember 195719 oder eine Personenbeförderungskonzession nach Artikel 6 des Personenbeförderungsgesetzes vom 20. März 200920 benötigen, weiterer konzessionierter </w:t>
      </w:r>
      <w:r w:rsidRPr="00CB3FDD">
        <w:rPr>
          <w:strike/>
          <w:sz w:val="22"/>
          <w:lang w:eastAsia="de-CH"/>
        </w:rPr>
        <w:lastRenderedPageBreak/>
        <w:t>Unternehmen</w:t>
      </w:r>
      <w:r w:rsidRPr="00CB3FDD">
        <w:rPr>
          <w:sz w:val="22"/>
          <w:lang w:eastAsia="de-CH"/>
        </w:rPr>
        <w:t xml:space="preserve"> </w:t>
      </w:r>
      <w:r w:rsidRPr="00CB3FDD">
        <w:rPr>
          <w:b/>
          <w:sz w:val="22"/>
          <w:lang w:eastAsia="de-CH"/>
        </w:rPr>
        <w:t>der in einem Monopol des Bundes tätigen Unternehmen</w:t>
      </w:r>
      <w:r w:rsidRPr="00CB3FDD">
        <w:rPr>
          <w:sz w:val="22"/>
          <w:lang w:eastAsia="de-CH"/>
        </w:rPr>
        <w:t xml:space="preserve"> und des Gemeinwesens.</w:t>
      </w:r>
    </w:p>
    <w:p w14:paraId="522408A5"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lang w:eastAsia="de-CH"/>
        </w:rPr>
      </w:pPr>
      <w:r w:rsidRPr="00CB3FDD">
        <w:rPr>
          <w:b/>
          <w:sz w:val="22"/>
          <w:lang w:eastAsia="de-CH"/>
        </w:rPr>
        <w:t xml:space="preserve">b. Art. 7 Abs. 2 BehiG </w:t>
      </w:r>
    </w:p>
    <w:p w14:paraId="4B6C727D"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w:t>
      </w:r>
    </w:p>
    <w:p w14:paraId="1A71095E"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 xml:space="preserve">2 Wer im Sinne von Artikel 2 Absatz 3 benachteiligt wird, kann im Falle einer Einrichtung oder eines Fahrzeuges des öffentlichen Verkehrs im Sinne von Artikel 3 Buchstabe b bei der zuständigen Behörde verlangen, dass das </w:t>
      </w:r>
      <w:r w:rsidRPr="00CB3FDD">
        <w:rPr>
          <w:strike/>
          <w:sz w:val="22"/>
          <w:lang w:eastAsia="de-CH"/>
        </w:rPr>
        <w:t>konzessionierte</w:t>
      </w:r>
      <w:r w:rsidRPr="00CB3FDD">
        <w:rPr>
          <w:sz w:val="22"/>
          <w:lang w:eastAsia="de-CH"/>
        </w:rPr>
        <w:t xml:space="preserve"> </w:t>
      </w:r>
      <w:r w:rsidRPr="00CB3FDD">
        <w:rPr>
          <w:b/>
          <w:sz w:val="22"/>
          <w:lang w:eastAsia="de-CH"/>
        </w:rPr>
        <w:t xml:space="preserve">in einem Monopol des Bundes tätige Unternehmen </w:t>
      </w:r>
      <w:r w:rsidRPr="00CB3FDD">
        <w:rPr>
          <w:sz w:val="22"/>
          <w:lang w:eastAsia="de-CH"/>
        </w:rPr>
        <w:t>die Benachteiligung beseitigt oder unterlässt.</w:t>
      </w:r>
    </w:p>
    <w:p w14:paraId="7D811A76"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lang w:eastAsia="de-CH"/>
        </w:rPr>
      </w:pPr>
      <w:r w:rsidRPr="00CB3FDD">
        <w:rPr>
          <w:b/>
          <w:sz w:val="22"/>
          <w:lang w:eastAsia="de-CH"/>
        </w:rPr>
        <w:t xml:space="preserve">c. Art. 8 Abs. 1 BehiG </w:t>
      </w:r>
    </w:p>
    <w:p w14:paraId="5CE10D5D"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 xml:space="preserve">1 Wer durch ein </w:t>
      </w:r>
      <w:r w:rsidRPr="00CB3FDD">
        <w:rPr>
          <w:strike/>
          <w:sz w:val="22"/>
          <w:lang w:eastAsia="de-CH"/>
        </w:rPr>
        <w:t>konzessioniertes</w:t>
      </w:r>
      <w:r w:rsidRPr="00CB3FDD">
        <w:rPr>
          <w:sz w:val="22"/>
          <w:lang w:eastAsia="de-CH"/>
        </w:rPr>
        <w:t xml:space="preserve"> </w:t>
      </w:r>
      <w:r w:rsidRPr="00CB3FDD">
        <w:rPr>
          <w:b/>
          <w:sz w:val="22"/>
          <w:lang w:eastAsia="de-CH"/>
        </w:rPr>
        <w:t>in einem Monopol des Bundes tätiges Unternehmen</w:t>
      </w:r>
      <w:r w:rsidRPr="00CB3FDD">
        <w:rPr>
          <w:sz w:val="22"/>
          <w:lang w:eastAsia="de-CH"/>
        </w:rPr>
        <w:t xml:space="preserve"> oder das Gemeinwesen im Sinne von Artikel 2 Absatz 4 benachteiligt wird, kann beim Gericht oder bei der Verwaltungsbehörde verlangen, dass der Anbieter der Dienstleistung die Benachteiligung beseitigt oder unterlässt.</w:t>
      </w:r>
    </w:p>
    <w:p w14:paraId="40CA8339"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w:t>
      </w:r>
    </w:p>
    <w:p w14:paraId="341904C3"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Auch Art. 2 Abs. 2 VböV wäre anzupassen, der die Unternehmen des öffentlichen Verkehrs nach Art. 3 lit. b BehiG als «konzessionierte Transportunternehmen» definiert.</w:t>
      </w:r>
    </w:p>
    <w:p w14:paraId="3ED88BA0" w14:textId="77777777" w:rsidR="00CB3FDD" w:rsidRPr="00CB3FDD" w:rsidRDefault="00CB3FDD" w:rsidP="00CB3FDD">
      <w:pPr>
        <w:pStyle w:val="berschrift2"/>
        <w:numPr>
          <w:ilvl w:val="1"/>
          <w:numId w:val="38"/>
        </w:numPr>
        <w:tabs>
          <w:tab w:val="num" w:pos="568"/>
        </w:tabs>
        <w:ind w:left="568" w:hanging="284"/>
        <w:rPr>
          <w:sz w:val="22"/>
          <w:szCs w:val="22"/>
          <w:lang w:eastAsia="de-CH"/>
        </w:rPr>
      </w:pPr>
      <w:bookmarkStart w:id="29" w:name="_Toc161510792"/>
      <w:bookmarkStart w:id="30" w:name="_Ref161567734"/>
      <w:bookmarkStart w:id="31" w:name="_Toc161749142"/>
      <w:r w:rsidRPr="00CB3FDD">
        <w:rPr>
          <w:sz w:val="22"/>
          <w:szCs w:val="22"/>
        </w:rPr>
        <w:t>Fehlen einer Justierung im Baubereich</w:t>
      </w:r>
      <w:bookmarkEnd w:id="29"/>
      <w:r w:rsidRPr="00CB3FDD">
        <w:rPr>
          <w:sz w:val="22"/>
          <w:szCs w:val="22"/>
        </w:rPr>
        <w:t xml:space="preserve"> (Art. 3 lit. a, c und d BehiG)</w:t>
      </w:r>
      <w:bookmarkEnd w:id="30"/>
      <w:bookmarkEnd w:id="31"/>
    </w:p>
    <w:p w14:paraId="14714A5A" w14:textId="77777777" w:rsidR="00CB3FDD" w:rsidRPr="00CB3FDD" w:rsidRDefault="00CB3FDD" w:rsidP="00CB3FDD">
      <w:pPr>
        <w:pStyle w:val="Textkrper"/>
        <w:rPr>
          <w:sz w:val="22"/>
        </w:rPr>
      </w:pPr>
      <w:r w:rsidRPr="00CB3FDD">
        <w:rPr>
          <w:sz w:val="22"/>
        </w:rPr>
        <w:t xml:space="preserve">Der VE-BehiG enthält keine Anpassungen für den Baubereich. Dabei ist nach 20 Jahren offensichtlich, dass die </w:t>
      </w:r>
      <w:r w:rsidRPr="00CB3FDD">
        <w:rPr>
          <w:b/>
          <w:sz w:val="22"/>
        </w:rPr>
        <w:t>Bestimmungen des BehiG im Baubereich bislang wenig Wirkung zeigten</w:t>
      </w:r>
      <w:r w:rsidRPr="00CB3FDD">
        <w:rPr>
          <w:sz w:val="22"/>
        </w:rPr>
        <w:t>. Heute gilt das BehiG für öffentlich-zugängliche Bauten und Anlagen nur dann, wenn sie neu erstellt oder umgebaut werden und das Bauvorhaben bewilligungspflichtig ist. Somit werden bestehende Bauten und Anlagen vom heutigen BehiG gar nicht erfasst, solange sie nicht umgebaut oder renoviert werden. Anpassungen an die Bedürfnisse von Menschen mit Behinderungen, die verhältnismässig wären, können mangels Anwendbarkeit des Gesetzes gar nicht verlangt werden. Dies führt dazu, dass die Zugänglichkeit der gebauten Umwelt für Menschen mit Behinderungen äusserst zögerlich voranschreitet. Dies würde sich auch nicht durch die Aufnahme der Verpflichtung zu «angemessenen Vorkehrungen» nach Art. 2 Abs. 6, Art. 6 Abs. 2 und 6a Abs. 2 VE-BehiG ändern. So halten die diesbezüglichen Erläuterungen ausdrücklich fest: «Bedingen die Vorkehrungen nur geringfügige bauliche Anpassungen, unterliegen die baulichen Massnahmen weiterhin dem geltenden Bau- und Anlagenrecht. Der Vorentwurf führt daher für private Unternehmen zu keinen zusätzlichen baulichen Auflagen.»</w:t>
      </w:r>
      <w:r w:rsidRPr="00CB3FDD">
        <w:rPr>
          <w:rStyle w:val="Funotenzeichen"/>
          <w:sz w:val="22"/>
        </w:rPr>
        <w:footnoteReference w:id="24"/>
      </w:r>
      <w:r w:rsidRPr="00CB3FDD">
        <w:rPr>
          <w:sz w:val="22"/>
        </w:rPr>
        <w:t xml:space="preserve"> </w:t>
      </w:r>
    </w:p>
    <w:p w14:paraId="593E0E46" w14:textId="77777777" w:rsidR="00CB3FDD" w:rsidRPr="00CB3FDD" w:rsidRDefault="00CB3FDD" w:rsidP="00CB3FDD">
      <w:pPr>
        <w:pStyle w:val="Textkrper"/>
        <w:rPr>
          <w:sz w:val="22"/>
        </w:rPr>
      </w:pPr>
      <w:r w:rsidRPr="00CB3FDD">
        <w:rPr>
          <w:sz w:val="22"/>
        </w:rPr>
        <w:t xml:space="preserve">Erschwerend kommen die </w:t>
      </w:r>
      <w:r w:rsidRPr="00CB3FDD">
        <w:rPr>
          <w:b/>
          <w:sz w:val="22"/>
        </w:rPr>
        <w:t>hohen Anforderungen für die Anwendbarkeit des BehiG auf Wohnbauten</w:t>
      </w:r>
      <w:r w:rsidRPr="00CB3FDD">
        <w:rPr>
          <w:sz w:val="22"/>
        </w:rPr>
        <w:t xml:space="preserve"> (9 Wohnungen und mehr) und </w:t>
      </w:r>
      <w:r w:rsidRPr="00CB3FDD">
        <w:rPr>
          <w:b/>
          <w:sz w:val="22"/>
        </w:rPr>
        <w:t>Bauten mit Arbeitsplätzen</w:t>
      </w:r>
      <w:r w:rsidRPr="00CB3FDD">
        <w:rPr>
          <w:sz w:val="22"/>
        </w:rPr>
        <w:t xml:space="preserve"> (51 Arbeitsplätze und mehr) hinzu. Gemäss einer im Auftrag des EBGB durchgeführten Evaluation zeigt das BehiG z.B. im Wohnungsbau aufgrund dieser hohen Mindestgrenze kaum Wirkung, insbesondere auf dem Land.</w:t>
      </w:r>
      <w:r w:rsidRPr="00CB3FDD">
        <w:rPr>
          <w:rStyle w:val="Funotenzeichen"/>
          <w:sz w:val="22"/>
          <w:lang w:eastAsia="de-CH"/>
        </w:rPr>
        <w:footnoteReference w:id="25"/>
      </w:r>
      <w:r w:rsidRPr="00CB3FDD">
        <w:rPr>
          <w:sz w:val="22"/>
        </w:rPr>
        <w:t xml:space="preserve"> </w:t>
      </w:r>
    </w:p>
    <w:p w14:paraId="3CB67A62" w14:textId="77777777" w:rsidR="00CB3FDD" w:rsidRPr="00CB3FDD" w:rsidRDefault="00CB3FDD" w:rsidP="00CB3FDD">
      <w:pPr>
        <w:pStyle w:val="Textkrper"/>
        <w:rPr>
          <w:sz w:val="22"/>
        </w:rPr>
      </w:pPr>
      <w:r w:rsidRPr="00CB3FDD">
        <w:rPr>
          <w:sz w:val="22"/>
        </w:rPr>
        <w:lastRenderedPageBreak/>
        <w:t xml:space="preserve">Die Praxiserfahrungen der letzten 20 Jahren haben schliesslich auch ein weiteres Problem ans Licht gebracht: Zwar soll der </w:t>
      </w:r>
      <w:r w:rsidRPr="00CB3FDD">
        <w:rPr>
          <w:b/>
          <w:sz w:val="22"/>
        </w:rPr>
        <w:t>Begriff der Anlage</w:t>
      </w:r>
      <w:r w:rsidRPr="00CB3FDD">
        <w:rPr>
          <w:sz w:val="22"/>
        </w:rPr>
        <w:t xml:space="preserve"> gemäss Art. 3 lit. a BehiG</w:t>
      </w:r>
      <w:r w:rsidRPr="00CB3FDD">
        <w:rPr>
          <w:rStyle w:val="Funotenzeichen"/>
          <w:sz w:val="22"/>
        </w:rPr>
        <w:footnoteReference w:id="26"/>
      </w:r>
      <w:r w:rsidRPr="00CB3FDD">
        <w:rPr>
          <w:sz w:val="22"/>
        </w:rPr>
        <w:t xml:space="preserve"> auch öffentliche Plätze, Verkehrswege und Fusswege erfassen. Doch sind öffentliche Anlagen für den Fussgängerverkehr oft nicht bewilligungspflichtig (und fallen aus diesem Grund gar nicht in den Geltungsbereich des BehiG). Wenn überhaupt, kann das Beschwerderecht nur in einem wenig detaillierten Richtplanverfahren geltend gemacht werden, in welchem die mit Bezug auf die Hindernisfreiheit relevanten Elemente nicht sichtbar sind. </w:t>
      </w:r>
    </w:p>
    <w:p w14:paraId="3F81CB1B" w14:textId="77777777" w:rsidR="00CB3FDD" w:rsidRPr="00CB3FDD" w:rsidRDefault="00CB3FDD" w:rsidP="00CB3FDD">
      <w:pPr>
        <w:pStyle w:val="Textkrper"/>
        <w:rPr>
          <w:sz w:val="22"/>
        </w:rPr>
      </w:pPr>
      <w:r w:rsidRPr="00CB3FDD">
        <w:rPr>
          <w:sz w:val="22"/>
        </w:rPr>
        <w:t xml:space="preserve">Als Folge davon </w:t>
      </w:r>
      <w:r w:rsidRPr="00CB3FDD">
        <w:rPr>
          <w:b/>
          <w:sz w:val="22"/>
        </w:rPr>
        <w:t>bleiben Menschen mit Behinderungen auch 20 Jahre nach Inkrafttreten des BehiG von vielen Orten des gesellschaftlichen Lebens ausgeschlossen</w:t>
      </w:r>
      <w:r w:rsidRPr="00CB3FDD">
        <w:rPr>
          <w:sz w:val="22"/>
        </w:rPr>
        <w:t>. Insbesondere der Zugang zum Wohnen und zur Arbeit wird dadurch erschwert.</w:t>
      </w:r>
      <w:r w:rsidRPr="00CB3FDD">
        <w:rPr>
          <w:rStyle w:val="Funotenzeichen"/>
          <w:sz w:val="22"/>
          <w:lang w:eastAsia="de-CH"/>
        </w:rPr>
        <w:footnoteReference w:id="27"/>
      </w:r>
    </w:p>
    <w:p w14:paraId="7159ABEA" w14:textId="77777777" w:rsidR="00CB3FDD" w:rsidRPr="00CB3FDD" w:rsidRDefault="00CB3FDD" w:rsidP="00CB3FDD">
      <w:pPr>
        <w:pStyle w:val="Textkrper"/>
        <w:rPr>
          <w:sz w:val="22"/>
        </w:rPr>
      </w:pPr>
      <w:r w:rsidRPr="00CB3FDD">
        <w:rPr>
          <w:sz w:val="22"/>
        </w:rPr>
        <w:t xml:space="preserve">Vor diesem Hintergrund ist nicht nachvollziehbar, weshalb der VE-BehiG keine Anpassungen für den Baubereich vorsieht. Um den Zugang von Menschen mit Behinderungen zum Wohnen und zur Arbeit wirksam voranzutreiben, ist der </w:t>
      </w:r>
      <w:r w:rsidRPr="00CB3FDD">
        <w:rPr>
          <w:b/>
          <w:sz w:val="22"/>
        </w:rPr>
        <w:t>Geltungsbereich des BehiG auf bestehende Bauten</w:t>
      </w:r>
      <w:r w:rsidRPr="00CB3FDD">
        <w:rPr>
          <w:sz w:val="22"/>
        </w:rPr>
        <w:t xml:space="preserve">, unabhängig von einem Umbau oder einer Renovation, zudem auch auf </w:t>
      </w:r>
      <w:r w:rsidRPr="00CB3FDD">
        <w:rPr>
          <w:b/>
          <w:sz w:val="22"/>
        </w:rPr>
        <w:t>Wohnbauten mit weniger als 9 Wohneinheiten</w:t>
      </w:r>
      <w:r w:rsidRPr="00CB3FDD">
        <w:rPr>
          <w:sz w:val="22"/>
        </w:rPr>
        <w:t xml:space="preserve"> sowie auf Bauten mit mehr als 25 Arbeitsplätzen oder mehr als 500m</w:t>
      </w:r>
      <w:r w:rsidRPr="00CB3FDD">
        <w:rPr>
          <w:sz w:val="22"/>
          <w:vertAlign w:val="superscript"/>
        </w:rPr>
        <w:t>2</w:t>
      </w:r>
      <w:r w:rsidRPr="00CB3FDD">
        <w:rPr>
          <w:sz w:val="22"/>
        </w:rPr>
        <w:t xml:space="preserve"> zu erweitern.</w:t>
      </w:r>
      <w:r w:rsidRPr="00CB3FDD">
        <w:rPr>
          <w:rStyle w:val="Funotenzeichen"/>
          <w:sz w:val="22"/>
          <w:lang w:eastAsia="de-CH"/>
        </w:rPr>
        <w:footnoteReference w:id="28"/>
      </w:r>
      <w:r w:rsidRPr="00CB3FDD">
        <w:rPr>
          <w:sz w:val="22"/>
        </w:rPr>
        <w:t xml:space="preserve"> Die Kantone Basel-Stadt und Genf haben sowohl in ihrer Verfassung als auch entsprechend in ihrer Baugesetzgebung eine grundsätzliche Verpflichtung zur Sicherstellung der Hindernisfreiheit von bestehenden Bauten eingeführt, die unabhängig von der Vornahme einer Renovation gilt. Der Schutz der Eigentümer vor unzumutbaren Kosten gewähren sie über den Grundsatz der Verhältnismässigkeit, nicht über eine Beschränkung des Geltungsbereichs auf neue und renovierte Bauten. </w:t>
      </w:r>
    </w:p>
    <w:p w14:paraId="1825196F"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lang w:eastAsia="de-CH"/>
        </w:rPr>
      </w:pPr>
      <w:r w:rsidRPr="00CB3FDD">
        <w:rPr>
          <w:b/>
          <w:sz w:val="22"/>
          <w:lang w:eastAsia="de-CH"/>
        </w:rPr>
        <w:t>Forderungen</w:t>
      </w:r>
    </w:p>
    <w:p w14:paraId="624D80AD"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xml:space="preserve">Der Geltungsbereich des BehiG ist: </w:t>
      </w:r>
    </w:p>
    <w:p w14:paraId="524E6661"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auf bestehende Bauten und Anlagen zu erweitern, unabhängig von einem Umbau oder einer Renovation,</w:t>
      </w:r>
    </w:p>
    <w:p w14:paraId="24BA88E8"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auf Wohnbauten ab 4 Wohnungen,</w:t>
      </w:r>
    </w:p>
    <w:p w14:paraId="2322F4D0"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auf Bauten mit mehr als 25 Arbeitsplätzen oder mehr als 500m</w:t>
      </w:r>
      <w:r w:rsidRPr="00CB3FDD">
        <w:rPr>
          <w:sz w:val="22"/>
          <w:vertAlign w:val="superscript"/>
        </w:rPr>
        <w:t>2</w:t>
      </w:r>
      <w:r w:rsidRPr="00CB3FDD">
        <w:rPr>
          <w:rStyle w:val="Funotenzeichen"/>
          <w:sz w:val="22"/>
        </w:rPr>
        <w:footnoteReference w:id="29"/>
      </w:r>
    </w:p>
    <w:p w14:paraId="0F16A2D0"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zu erweitern.</w:t>
      </w:r>
    </w:p>
    <w:p w14:paraId="7270B178" w14:textId="77777777" w:rsidR="00CB3FDD" w:rsidRPr="00CB3FDD" w:rsidRDefault="00CB3FDD" w:rsidP="00CB3FDD">
      <w:pPr>
        <w:pStyle w:val="berschrift1"/>
        <w:numPr>
          <w:ilvl w:val="0"/>
          <w:numId w:val="38"/>
        </w:numPr>
        <w:tabs>
          <w:tab w:val="num" w:pos="284"/>
        </w:tabs>
        <w:ind w:left="284" w:hanging="284"/>
        <w:rPr>
          <w:sz w:val="22"/>
          <w:szCs w:val="22"/>
        </w:rPr>
      </w:pPr>
      <w:bookmarkStart w:id="32" w:name="_Toc161510793"/>
      <w:bookmarkStart w:id="33" w:name="_Ref161557885"/>
      <w:bookmarkStart w:id="34" w:name="_Ref161601249"/>
      <w:bookmarkStart w:id="35" w:name="_Ref161642995"/>
      <w:bookmarkStart w:id="36" w:name="_Toc161749143"/>
      <w:r w:rsidRPr="00CB3FDD">
        <w:rPr>
          <w:sz w:val="22"/>
          <w:szCs w:val="22"/>
        </w:rPr>
        <w:t>Zum Fokus auf den Schutz vor Diskriminierung im Einzelfall</w:t>
      </w:r>
      <w:bookmarkEnd w:id="32"/>
      <w:bookmarkEnd w:id="33"/>
      <w:bookmarkEnd w:id="34"/>
      <w:bookmarkEnd w:id="35"/>
      <w:bookmarkEnd w:id="36"/>
    </w:p>
    <w:p w14:paraId="6855335D" w14:textId="77777777" w:rsidR="00CB3FDD" w:rsidRPr="00CB3FDD" w:rsidRDefault="00CB3FDD" w:rsidP="00CB3FDD">
      <w:pPr>
        <w:pStyle w:val="Textkrper"/>
        <w:rPr>
          <w:sz w:val="22"/>
        </w:rPr>
      </w:pPr>
      <w:r w:rsidRPr="00CB3FDD">
        <w:rPr>
          <w:sz w:val="22"/>
        </w:rPr>
        <w:t xml:space="preserve">Durch die vorgeschlagene Revision sollen Menschen mit Behinderungen vor Diskriminierung besser geschützt werden. Obschon ein besserer Schutz dringend nötig und dieses Ziel richtig sowie wichtig ist, wird es der VE-BehiG voraussichtlich verfehlen, aus den zwei nachfolgend näher ausgeführten Gründen: </w:t>
      </w:r>
    </w:p>
    <w:p w14:paraId="27A070D8" w14:textId="48A4768E" w:rsidR="00CB3FDD" w:rsidRPr="00CB3FDD" w:rsidRDefault="00CB3FDD" w:rsidP="00CB3FDD">
      <w:pPr>
        <w:pStyle w:val="Textkrper"/>
        <w:numPr>
          <w:ilvl w:val="0"/>
          <w:numId w:val="39"/>
        </w:numPr>
        <w:spacing w:line="280" w:lineRule="exact"/>
        <w:jc w:val="both"/>
        <w:rPr>
          <w:sz w:val="22"/>
        </w:rPr>
      </w:pPr>
      <w:r w:rsidRPr="00CB3FDD">
        <w:rPr>
          <w:sz w:val="22"/>
        </w:rPr>
        <w:t xml:space="preserve">Der </w:t>
      </w:r>
      <w:r w:rsidRPr="00CB3FDD">
        <w:rPr>
          <w:b/>
          <w:sz w:val="22"/>
        </w:rPr>
        <w:t>Schutz vor Diskriminierung als Korrektivinstrument im Einzelfall reicht nicht</w:t>
      </w:r>
      <w:r w:rsidRPr="00CB3FDD">
        <w:rPr>
          <w:sz w:val="22"/>
        </w:rPr>
        <w:t xml:space="preserve">. Die umfassende Verwirklichung der Gleichstellung von Menschen mit Behinderungen erfordert neben subjektiv- auch objektivrechtliche Durchsetzungsinstrumente (unten Ziff. </w:t>
      </w:r>
      <w:r w:rsidRPr="00CB3FDD">
        <w:rPr>
          <w:sz w:val="22"/>
        </w:rPr>
        <w:fldChar w:fldCharType="begin"/>
      </w:r>
      <w:r w:rsidRPr="00CB3FDD">
        <w:rPr>
          <w:sz w:val="22"/>
        </w:rPr>
        <w:instrText xml:space="preserve"> REF _Ref161590234 \r \h </w:instrText>
      </w:r>
      <w:r>
        <w:rPr>
          <w:sz w:val="22"/>
        </w:rPr>
        <w:instrText xml:space="preserve"> \* MERGEFORMAT </w:instrText>
      </w:r>
      <w:r w:rsidRPr="00CB3FDD">
        <w:rPr>
          <w:sz w:val="22"/>
        </w:rPr>
      </w:r>
      <w:r w:rsidRPr="00CB3FDD">
        <w:rPr>
          <w:sz w:val="22"/>
        </w:rPr>
        <w:fldChar w:fldCharType="separate"/>
      </w:r>
      <w:r w:rsidR="00663FF0">
        <w:rPr>
          <w:sz w:val="22"/>
        </w:rPr>
        <w:t>4.1</w:t>
      </w:r>
      <w:r w:rsidRPr="00CB3FDD">
        <w:rPr>
          <w:sz w:val="22"/>
        </w:rPr>
        <w:fldChar w:fldCharType="end"/>
      </w:r>
      <w:r w:rsidRPr="00CB3FDD">
        <w:rPr>
          <w:sz w:val="22"/>
        </w:rPr>
        <w:t>). Diesbezüglich ist der Vorschlag insgesamt zu wenig konkret.</w:t>
      </w:r>
    </w:p>
    <w:p w14:paraId="5115E430" w14:textId="51938796" w:rsidR="00CB3FDD" w:rsidRPr="00CB3FDD" w:rsidRDefault="00CB3FDD" w:rsidP="00CB3FDD">
      <w:pPr>
        <w:pStyle w:val="Textkrper"/>
        <w:numPr>
          <w:ilvl w:val="0"/>
          <w:numId w:val="39"/>
        </w:numPr>
        <w:spacing w:line="280" w:lineRule="exact"/>
        <w:jc w:val="both"/>
        <w:rPr>
          <w:sz w:val="22"/>
        </w:rPr>
      </w:pPr>
      <w:r w:rsidRPr="00CB3FDD">
        <w:rPr>
          <w:sz w:val="22"/>
        </w:rPr>
        <w:lastRenderedPageBreak/>
        <w:t xml:space="preserve">Der Schutz vor Diskriminierung ist so konzipiert, dass das </w:t>
      </w:r>
      <w:r w:rsidRPr="00CB3FDD">
        <w:rPr>
          <w:b/>
          <w:sz w:val="22"/>
        </w:rPr>
        <w:t>Gesetz kaum noch zu verstehen</w:t>
      </w:r>
      <w:r w:rsidRPr="00CB3FDD">
        <w:rPr>
          <w:sz w:val="22"/>
        </w:rPr>
        <w:t xml:space="preserve"> ist (unten </w:t>
      </w:r>
      <w:r w:rsidRPr="00CB3FDD">
        <w:rPr>
          <w:sz w:val="22"/>
        </w:rPr>
        <w:fldChar w:fldCharType="begin"/>
      </w:r>
      <w:r w:rsidRPr="00CB3FDD">
        <w:rPr>
          <w:sz w:val="22"/>
        </w:rPr>
        <w:instrText xml:space="preserve"> REF _Ref161560698 \r \h </w:instrText>
      </w:r>
      <w:r>
        <w:rPr>
          <w:sz w:val="22"/>
        </w:rPr>
        <w:instrText xml:space="preserve"> \* MERGEFORMAT </w:instrText>
      </w:r>
      <w:r w:rsidRPr="00CB3FDD">
        <w:rPr>
          <w:sz w:val="22"/>
        </w:rPr>
      </w:r>
      <w:r w:rsidRPr="00CB3FDD">
        <w:rPr>
          <w:sz w:val="22"/>
        </w:rPr>
        <w:fldChar w:fldCharType="separate"/>
      </w:r>
      <w:r w:rsidR="00663FF0">
        <w:rPr>
          <w:sz w:val="22"/>
        </w:rPr>
        <w:t>4.2</w:t>
      </w:r>
      <w:r w:rsidRPr="00CB3FDD">
        <w:rPr>
          <w:sz w:val="22"/>
        </w:rPr>
        <w:fldChar w:fldCharType="end"/>
      </w:r>
      <w:r w:rsidRPr="00CB3FDD">
        <w:rPr>
          <w:sz w:val="22"/>
        </w:rPr>
        <w:t xml:space="preserve">). Zudem soll das </w:t>
      </w:r>
      <w:r w:rsidRPr="00CB3FDD">
        <w:rPr>
          <w:b/>
          <w:sz w:val="22"/>
        </w:rPr>
        <w:t>Verbandsbeschwerderecht</w:t>
      </w:r>
      <w:r w:rsidRPr="00CB3FDD">
        <w:rPr>
          <w:sz w:val="22"/>
        </w:rPr>
        <w:t xml:space="preserve"> nur noch bei Verletzungen der Persönlichkeit geltend gemacht werden können, eine Situation, die kaum je Auslöser der Diskriminierungen ist, mit welchen Menschen mit Behinderungen sich im Alltag konfrontiert sehen (unten Ziff. </w:t>
      </w:r>
      <w:r w:rsidRPr="00CB3FDD">
        <w:rPr>
          <w:sz w:val="22"/>
        </w:rPr>
        <w:fldChar w:fldCharType="begin"/>
      </w:r>
      <w:r w:rsidRPr="00CB3FDD">
        <w:rPr>
          <w:sz w:val="22"/>
        </w:rPr>
        <w:instrText xml:space="preserve"> REF _Ref161573192 \r \h </w:instrText>
      </w:r>
      <w:r>
        <w:rPr>
          <w:sz w:val="22"/>
        </w:rPr>
        <w:instrText xml:space="preserve"> \* MERGEFORMAT </w:instrText>
      </w:r>
      <w:r w:rsidRPr="00CB3FDD">
        <w:rPr>
          <w:sz w:val="22"/>
        </w:rPr>
      </w:r>
      <w:r w:rsidRPr="00CB3FDD">
        <w:rPr>
          <w:sz w:val="22"/>
        </w:rPr>
        <w:fldChar w:fldCharType="separate"/>
      </w:r>
      <w:r w:rsidR="00663FF0">
        <w:rPr>
          <w:sz w:val="22"/>
        </w:rPr>
        <w:t>4.5</w:t>
      </w:r>
      <w:r w:rsidRPr="00CB3FDD">
        <w:rPr>
          <w:sz w:val="22"/>
        </w:rPr>
        <w:fldChar w:fldCharType="end"/>
      </w:r>
      <w:r w:rsidRPr="00CB3FDD">
        <w:rPr>
          <w:sz w:val="22"/>
        </w:rPr>
        <w:t>).</w:t>
      </w:r>
    </w:p>
    <w:p w14:paraId="4FDFD77C" w14:textId="77777777" w:rsidR="00CB3FDD" w:rsidRPr="00CB3FDD" w:rsidRDefault="00CB3FDD" w:rsidP="00CB3FDD">
      <w:pPr>
        <w:pStyle w:val="berschrift2"/>
        <w:numPr>
          <w:ilvl w:val="1"/>
          <w:numId w:val="38"/>
        </w:numPr>
        <w:tabs>
          <w:tab w:val="num" w:pos="568"/>
        </w:tabs>
        <w:ind w:left="568" w:hanging="284"/>
        <w:rPr>
          <w:sz w:val="22"/>
          <w:szCs w:val="22"/>
        </w:rPr>
      </w:pPr>
      <w:bookmarkStart w:id="37" w:name="_Ref161590234"/>
      <w:bookmarkStart w:id="38" w:name="_Toc161749144"/>
      <w:bookmarkEnd w:id="18"/>
      <w:r w:rsidRPr="00CB3FDD">
        <w:rPr>
          <w:sz w:val="22"/>
          <w:szCs w:val="22"/>
        </w:rPr>
        <w:t>Konkretisierung der objektivrechtlichen Verpflichtungen dringend nötig</w:t>
      </w:r>
      <w:bookmarkEnd w:id="37"/>
      <w:bookmarkEnd w:id="38"/>
    </w:p>
    <w:p w14:paraId="595A85EA" w14:textId="77777777" w:rsidR="00CB3FDD" w:rsidRPr="00CB3FDD" w:rsidRDefault="00CB3FDD" w:rsidP="00CB3FDD">
      <w:pPr>
        <w:pStyle w:val="Textkrper"/>
        <w:rPr>
          <w:sz w:val="22"/>
        </w:rPr>
      </w:pPr>
      <w:r w:rsidRPr="00CB3FDD">
        <w:rPr>
          <w:sz w:val="22"/>
        </w:rPr>
        <w:t xml:space="preserve">Ein Verbot der Benachteiligung bzw. der Diskriminierung, verbunden mit der Verpflichtung, Benachteiligungen zu beseitigen bzw. angemessene Vorkehrungen zu treffen, ist ein </w:t>
      </w:r>
      <w:r w:rsidRPr="00CB3FDD">
        <w:rPr>
          <w:b/>
          <w:sz w:val="22"/>
        </w:rPr>
        <w:t xml:space="preserve">unabdingbares, </w:t>
      </w:r>
      <w:r w:rsidRPr="00CB3FDD">
        <w:rPr>
          <w:sz w:val="22"/>
        </w:rPr>
        <w:t>gleichzeitig aber auch ein</w:t>
      </w:r>
      <w:r w:rsidRPr="00CB3FDD">
        <w:rPr>
          <w:b/>
          <w:sz w:val="22"/>
        </w:rPr>
        <w:t xml:space="preserve"> minimales Instrument zum Schutz von Menschen mit Behinderungen vor Diskriminierung </w:t>
      </w:r>
      <w:r w:rsidRPr="00CB3FDD">
        <w:rPr>
          <w:sz w:val="22"/>
        </w:rPr>
        <w:t xml:space="preserve">und zur </w:t>
      </w:r>
      <w:r w:rsidRPr="00CB3FDD">
        <w:rPr>
          <w:b/>
          <w:sz w:val="22"/>
        </w:rPr>
        <w:t>Förderung ihrer tatsächlichen Gleichstellung</w:t>
      </w:r>
      <w:r w:rsidRPr="00CB3FDD">
        <w:rPr>
          <w:sz w:val="22"/>
        </w:rPr>
        <w:t xml:space="preserve">. Wenn überhaupt, vermag es lediglich eine </w:t>
      </w:r>
      <w:r w:rsidRPr="00CB3FDD">
        <w:rPr>
          <w:b/>
          <w:sz w:val="22"/>
        </w:rPr>
        <w:t>Korrektur im Einzelfall</w:t>
      </w:r>
      <w:r w:rsidRPr="00CB3FDD">
        <w:rPr>
          <w:sz w:val="22"/>
        </w:rPr>
        <w:t xml:space="preserve"> zu bewirken, allenfalls auch darüber hinaus als Folge der möglichen präjudiziellen Wirkung eines Urteils. Die Geltendmachung von Rechtsansprüchen setzt zudem die nötige Energie und Ressourcen bei der betroffenen Person voraus, insbesondere das Wissen über die eigenen Rechte sowie finanzielle Mittel für die Beschreitung des Rechtswegs. </w:t>
      </w:r>
    </w:p>
    <w:p w14:paraId="00D041FF" w14:textId="77777777" w:rsidR="00CB3FDD" w:rsidRPr="00CB3FDD" w:rsidRDefault="00CB3FDD" w:rsidP="00CB3FDD">
      <w:pPr>
        <w:pStyle w:val="Textkrper"/>
        <w:rPr>
          <w:sz w:val="22"/>
        </w:rPr>
      </w:pPr>
      <w:r w:rsidRPr="00CB3FDD">
        <w:rPr>
          <w:sz w:val="22"/>
        </w:rPr>
        <w:t xml:space="preserve">Neben dem Verbot, im Einzelfall zu diskriminieren, müssen Gemeinwesen und Private konkret verpflichtet werden, </w:t>
      </w:r>
      <w:r w:rsidRPr="00CB3FDD">
        <w:rPr>
          <w:b/>
          <w:sz w:val="22"/>
        </w:rPr>
        <w:t>proaktiv Massnahmen zu ergreifen</w:t>
      </w:r>
      <w:r w:rsidRPr="00CB3FDD">
        <w:rPr>
          <w:sz w:val="22"/>
        </w:rPr>
        <w:t xml:space="preserve">, um Menschen mit Behinderungen vor Diskriminierungen zu schützen und ihre tatsächliche Gleichstellung zu fördern. Die Massnahmen müssen ergriffen werden, unabhängig davon, ob eine Person mit Behinderung ihre Rechte geltend macht. Es geht darum, </w:t>
      </w:r>
      <w:r w:rsidRPr="00CB3FDD">
        <w:rPr>
          <w:b/>
          <w:sz w:val="22"/>
        </w:rPr>
        <w:t xml:space="preserve">Schritt für Schritt daraufhin zu wirken, dass die Gesellschaft mit Bezug auf Menschen mit Behinderung inklusiver </w:t>
      </w:r>
      <w:r w:rsidRPr="00CB3FDD">
        <w:rPr>
          <w:sz w:val="22"/>
        </w:rPr>
        <w:t xml:space="preserve">wird. Es geht um eine systemische Pflicht (objektivrechtliche Verpflichtung). Diesbezüglich enthält der VE durchaus Ansätze, die unterstützt werden können. Doch insgesamt sind die Vorschläge ungenügend: </w:t>
      </w:r>
    </w:p>
    <w:p w14:paraId="50807AE6" w14:textId="4BD62F01" w:rsidR="00CB3FDD" w:rsidRPr="00CB3FDD" w:rsidRDefault="00CB3FDD" w:rsidP="00CB3FDD">
      <w:pPr>
        <w:pStyle w:val="Textkrper"/>
        <w:numPr>
          <w:ilvl w:val="0"/>
          <w:numId w:val="39"/>
        </w:numPr>
        <w:spacing w:line="280" w:lineRule="exact"/>
        <w:jc w:val="both"/>
        <w:rPr>
          <w:sz w:val="22"/>
        </w:rPr>
      </w:pPr>
      <w:r w:rsidRPr="00CB3FDD">
        <w:rPr>
          <w:sz w:val="22"/>
        </w:rPr>
        <w:t xml:space="preserve">Die allgemeine Klausel, die eine solche objektivrechtliche Verpflichtung verankern soll (Art. 5 Abs. 1), bleibt auch mit dem Änderungsvorschlag ungenügend. Sie paraphrasiert im Wesentlichen Art. 8 Abs. 4 BV, wonach Benachteiligungen zu verhindern, zu verringern oder zu beseitigen sind, und führt keine wesentliche Konkretisierung ein. Ergänzt wird lediglich, dass unterschiedliche Behinderungen zu berücksichtigen seien. Es ist nicht anzunehmen, dass eine solche Bestimmung, ohne Zielvorgabe und ohne Kontrollmechanismus, das Gemeinwesen zu Massnahmen zum Schutz von Menschen mit Behinderungen bewegen wird (siehe unten Ziff. </w:t>
      </w:r>
      <w:r w:rsidRPr="00CB3FDD">
        <w:rPr>
          <w:sz w:val="22"/>
        </w:rPr>
        <w:fldChar w:fldCharType="begin"/>
      </w:r>
      <w:r w:rsidRPr="00CB3FDD">
        <w:rPr>
          <w:sz w:val="22"/>
        </w:rPr>
        <w:instrText xml:space="preserve"> REF _Ref161600096 \r \h  \* MERGEFORMAT </w:instrText>
      </w:r>
      <w:r w:rsidRPr="00CB3FDD">
        <w:rPr>
          <w:sz w:val="22"/>
        </w:rPr>
      </w:r>
      <w:r w:rsidRPr="00CB3FDD">
        <w:rPr>
          <w:sz w:val="22"/>
        </w:rPr>
        <w:fldChar w:fldCharType="separate"/>
      </w:r>
      <w:r w:rsidR="00663FF0">
        <w:rPr>
          <w:sz w:val="22"/>
        </w:rPr>
        <w:t>7</w:t>
      </w:r>
      <w:r w:rsidRPr="00CB3FDD">
        <w:rPr>
          <w:sz w:val="22"/>
        </w:rPr>
        <w:fldChar w:fldCharType="end"/>
      </w:r>
      <w:r w:rsidRPr="00CB3FDD">
        <w:rPr>
          <w:sz w:val="22"/>
        </w:rPr>
        <w:t xml:space="preserve">, Vorschläge zu Art. 5 Abs. 1 und 1bis). </w:t>
      </w:r>
    </w:p>
    <w:p w14:paraId="6BF7AA49" w14:textId="691843EB" w:rsidR="00CB3FDD" w:rsidRPr="00CB3FDD" w:rsidRDefault="00CB3FDD" w:rsidP="00CB3FDD">
      <w:pPr>
        <w:pStyle w:val="Textkrper"/>
        <w:numPr>
          <w:ilvl w:val="0"/>
          <w:numId w:val="39"/>
        </w:numPr>
        <w:spacing w:line="280" w:lineRule="exact"/>
        <w:jc w:val="both"/>
        <w:rPr>
          <w:sz w:val="22"/>
        </w:rPr>
      </w:pPr>
      <w:r w:rsidRPr="00CB3FDD">
        <w:rPr>
          <w:sz w:val="22"/>
        </w:rPr>
        <w:t xml:space="preserve">Die allgemeine Klausel von Art. 5 wird zwar in einzelnen Bereichen konkretisiert (Art. 13, 14, und 20; siehe dazu die punktuellen Anregungen unter Ziff. </w:t>
      </w:r>
      <w:r w:rsidRPr="00CB3FDD">
        <w:rPr>
          <w:sz w:val="22"/>
        </w:rPr>
        <w:fldChar w:fldCharType="begin"/>
      </w:r>
      <w:r w:rsidRPr="00CB3FDD">
        <w:rPr>
          <w:sz w:val="22"/>
        </w:rPr>
        <w:instrText xml:space="preserve"> REF _Ref161600096 \r \h  \* MERGEFORMAT </w:instrText>
      </w:r>
      <w:r w:rsidRPr="00CB3FDD">
        <w:rPr>
          <w:sz w:val="22"/>
        </w:rPr>
      </w:r>
      <w:r w:rsidRPr="00CB3FDD">
        <w:rPr>
          <w:sz w:val="22"/>
        </w:rPr>
        <w:fldChar w:fldCharType="separate"/>
      </w:r>
      <w:r w:rsidR="00663FF0">
        <w:rPr>
          <w:sz w:val="22"/>
        </w:rPr>
        <w:t>7</w:t>
      </w:r>
      <w:r w:rsidRPr="00CB3FDD">
        <w:rPr>
          <w:sz w:val="22"/>
        </w:rPr>
        <w:fldChar w:fldCharType="end"/>
      </w:r>
      <w:r w:rsidRPr="00CB3FDD">
        <w:rPr>
          <w:sz w:val="22"/>
        </w:rPr>
        <w:t xml:space="preserve">). Diese enthalten im Vergleich zum heutigen BehiG aber kaum Veränderungen. Sie bleiben äusserst diffus und wenig verbindlich. Kontrollinstrumente sowie Sanktionen bei Nicht-Einhaltung zur Sicherstellung ihrer Umsetzung werden keine eingeführt. Vor dem Hintergrund der Erfahrung der letzten 20 Jahren muss befürchtet werden, dass die vorgeschlagenen Regelungen kaum etwas bewirken werden. Sogar im Bereich des öffentlichen Verkehrs, welcher sich mit einem äusserst präzisen Regelwerk sowie einer 20-jährigen Frist vom Rest des BehiG deutlich abhob, ist die Bilanz ernüchternd. Es braucht deutlich mehr, um sicherzustellen, dass die Massnahmen zum Schutz vor Diskriminierung und zur Förderung der Gleichstellung tatsächlich ergriffen werden. Dies gilt insbesondere auch für </w:t>
      </w:r>
      <w:r w:rsidRPr="00CB3FDD">
        <w:rPr>
          <w:sz w:val="22"/>
        </w:rPr>
        <w:lastRenderedPageBreak/>
        <w:t xml:space="preserve">die Bereiche Arbeit und Dienstleistungen, auf welchen der Fokus der vorliegenden Revision liegt (siehe Ziff. </w:t>
      </w:r>
      <w:r w:rsidRPr="00CB3FDD">
        <w:rPr>
          <w:sz w:val="22"/>
        </w:rPr>
        <w:fldChar w:fldCharType="begin"/>
      </w:r>
      <w:r w:rsidRPr="00CB3FDD">
        <w:rPr>
          <w:sz w:val="22"/>
        </w:rPr>
        <w:instrText xml:space="preserve"> REF _Ref161723033 \r \h  \* MERGEFORMAT </w:instrText>
      </w:r>
      <w:r w:rsidRPr="00CB3FDD">
        <w:rPr>
          <w:sz w:val="22"/>
        </w:rPr>
      </w:r>
      <w:r w:rsidRPr="00CB3FDD">
        <w:rPr>
          <w:sz w:val="22"/>
        </w:rPr>
        <w:fldChar w:fldCharType="separate"/>
      </w:r>
      <w:r w:rsidR="00663FF0">
        <w:rPr>
          <w:sz w:val="22"/>
        </w:rPr>
        <w:t>4.3</w:t>
      </w:r>
      <w:r w:rsidRPr="00CB3FDD">
        <w:rPr>
          <w:sz w:val="22"/>
        </w:rPr>
        <w:fldChar w:fldCharType="end"/>
      </w:r>
      <w:r w:rsidRPr="00CB3FDD">
        <w:rPr>
          <w:sz w:val="22"/>
        </w:rPr>
        <w:t xml:space="preserve"> und </w:t>
      </w:r>
      <w:r w:rsidRPr="00CB3FDD">
        <w:rPr>
          <w:sz w:val="22"/>
        </w:rPr>
        <w:fldChar w:fldCharType="begin"/>
      </w:r>
      <w:r w:rsidRPr="00CB3FDD">
        <w:rPr>
          <w:sz w:val="22"/>
        </w:rPr>
        <w:instrText xml:space="preserve"> REF _Ref161723049 \r \h  \* MERGEFORMAT </w:instrText>
      </w:r>
      <w:r w:rsidRPr="00CB3FDD">
        <w:rPr>
          <w:sz w:val="22"/>
        </w:rPr>
      </w:r>
      <w:r w:rsidRPr="00CB3FDD">
        <w:rPr>
          <w:sz w:val="22"/>
        </w:rPr>
        <w:fldChar w:fldCharType="separate"/>
      </w:r>
      <w:r w:rsidR="00663FF0">
        <w:rPr>
          <w:sz w:val="22"/>
        </w:rPr>
        <w:t>4.4</w:t>
      </w:r>
      <w:r w:rsidRPr="00CB3FDD">
        <w:rPr>
          <w:sz w:val="22"/>
        </w:rPr>
        <w:fldChar w:fldCharType="end"/>
      </w:r>
      <w:r w:rsidRPr="00CB3FDD">
        <w:rPr>
          <w:sz w:val="22"/>
        </w:rPr>
        <w:t>).</w:t>
      </w:r>
    </w:p>
    <w:p w14:paraId="174CAAEF" w14:textId="77777777" w:rsidR="00CB3FDD" w:rsidRPr="00CB3FDD" w:rsidRDefault="00CB3FDD" w:rsidP="00CB3FDD">
      <w:pPr>
        <w:pStyle w:val="berschrift2"/>
        <w:numPr>
          <w:ilvl w:val="1"/>
          <w:numId w:val="38"/>
        </w:numPr>
        <w:tabs>
          <w:tab w:val="num" w:pos="568"/>
        </w:tabs>
        <w:ind w:left="568" w:hanging="284"/>
        <w:rPr>
          <w:sz w:val="22"/>
          <w:szCs w:val="22"/>
        </w:rPr>
      </w:pPr>
      <w:bookmarkStart w:id="39" w:name="_Ref161560698"/>
      <w:bookmarkStart w:id="40" w:name="_Toc161749145"/>
      <w:r w:rsidRPr="00CB3FDD">
        <w:rPr>
          <w:sz w:val="22"/>
          <w:szCs w:val="22"/>
        </w:rPr>
        <w:t>Unterscheidung zwischen Benachteiligung und Diskriminierung (Art. 2 Abs. 2 und Art. 6 BehiG; Art. 6 und 6a VE-BehiG)</w:t>
      </w:r>
      <w:bookmarkEnd w:id="39"/>
      <w:bookmarkEnd w:id="40"/>
    </w:p>
    <w:p w14:paraId="73464267" w14:textId="77777777" w:rsidR="00CB3FDD" w:rsidRPr="00CB3FDD" w:rsidRDefault="00CB3FDD" w:rsidP="00CB3FDD">
      <w:pPr>
        <w:pStyle w:val="berschrift3"/>
        <w:numPr>
          <w:ilvl w:val="2"/>
          <w:numId w:val="38"/>
        </w:numPr>
        <w:tabs>
          <w:tab w:val="num" w:pos="852"/>
        </w:tabs>
        <w:ind w:left="852" w:hanging="284"/>
        <w:rPr>
          <w:szCs w:val="22"/>
        </w:rPr>
      </w:pPr>
      <w:bookmarkStart w:id="41" w:name="_Toc161749146"/>
      <w:r w:rsidRPr="00CB3FDD">
        <w:rPr>
          <w:szCs w:val="22"/>
        </w:rPr>
        <w:t>Fehlerhafte Konzeption des BehiG</w:t>
      </w:r>
      <w:bookmarkEnd w:id="41"/>
    </w:p>
    <w:p w14:paraId="696E505E" w14:textId="0DCA7549" w:rsidR="00CB3FDD" w:rsidRPr="00CB3FDD" w:rsidRDefault="00CB3FDD" w:rsidP="00CB3FDD">
      <w:pPr>
        <w:pStyle w:val="Textkrper"/>
        <w:rPr>
          <w:sz w:val="22"/>
        </w:rPr>
      </w:pPr>
      <w:r w:rsidRPr="00CB3FDD">
        <w:rPr>
          <w:sz w:val="22"/>
        </w:rPr>
        <w:t xml:space="preserve">Es ist zu begrüssen, dass sich die Revision die Verbesserung des Diskriminierungsschutzes bei privaten Dienstleistungen sowie die Ausweitung des Diskriminierungsschutzes auf privatrechtliche Arbeitsverhältnisse zum Ziel setzt. Diese ist aus den bereits unter Ziff. </w:t>
      </w:r>
      <w:r w:rsidRPr="00CB3FDD">
        <w:rPr>
          <w:sz w:val="22"/>
        </w:rPr>
        <w:fldChar w:fldCharType="begin"/>
      </w:r>
      <w:r w:rsidRPr="00CB3FDD">
        <w:rPr>
          <w:sz w:val="22"/>
        </w:rPr>
        <w:instrText xml:space="preserve"> REF _Ref161603960 \r \h </w:instrText>
      </w:r>
      <w:r>
        <w:rPr>
          <w:sz w:val="22"/>
        </w:rPr>
        <w:instrText xml:space="preserve"> \* MERGEFORMAT </w:instrText>
      </w:r>
      <w:r w:rsidRPr="00CB3FDD">
        <w:rPr>
          <w:sz w:val="22"/>
        </w:rPr>
      </w:r>
      <w:r w:rsidRPr="00CB3FDD">
        <w:rPr>
          <w:sz w:val="22"/>
        </w:rPr>
        <w:fldChar w:fldCharType="separate"/>
      </w:r>
      <w:r w:rsidR="00663FF0">
        <w:rPr>
          <w:sz w:val="22"/>
        </w:rPr>
        <w:t>2</w:t>
      </w:r>
      <w:r w:rsidRPr="00CB3FDD">
        <w:rPr>
          <w:sz w:val="22"/>
        </w:rPr>
        <w:fldChar w:fldCharType="end"/>
      </w:r>
      <w:r w:rsidRPr="00CB3FDD">
        <w:rPr>
          <w:sz w:val="22"/>
        </w:rPr>
        <w:t xml:space="preserve"> erwähnten Gründen </w:t>
      </w:r>
      <w:r w:rsidRPr="00CB3FDD">
        <w:rPr>
          <w:b/>
          <w:sz w:val="22"/>
        </w:rPr>
        <w:t>unbedingt nötig</w:t>
      </w:r>
      <w:r w:rsidRPr="00CB3FDD">
        <w:rPr>
          <w:sz w:val="22"/>
        </w:rPr>
        <w:t>.</w:t>
      </w:r>
    </w:p>
    <w:p w14:paraId="480E162B" w14:textId="77777777" w:rsidR="00CB3FDD" w:rsidRPr="00CB3FDD" w:rsidRDefault="00CB3FDD" w:rsidP="00CB3FDD">
      <w:pPr>
        <w:pStyle w:val="Textkrper"/>
        <w:rPr>
          <w:sz w:val="22"/>
        </w:rPr>
      </w:pPr>
      <w:r w:rsidRPr="00CB3FDD">
        <w:rPr>
          <w:sz w:val="22"/>
        </w:rPr>
        <w:t xml:space="preserve">Leider vermag der Vorentwurf diesen Anspruch nicht einzulösen: Die vorgeschlagenen Anpassungen werden im Ergebnis </w:t>
      </w:r>
      <w:r w:rsidRPr="00CB3FDD">
        <w:rPr>
          <w:b/>
          <w:sz w:val="22"/>
        </w:rPr>
        <w:t>nicht ausreichen, um eine tatsächliche Stärkung des Schutzes vor Diskriminierung zu erreichen</w:t>
      </w:r>
      <w:r w:rsidRPr="00CB3FDD">
        <w:rPr>
          <w:sz w:val="22"/>
        </w:rPr>
        <w:t xml:space="preserve">. Dies liegt bereits an der </w:t>
      </w:r>
      <w:r w:rsidRPr="00CB3FDD">
        <w:rPr>
          <w:b/>
          <w:sz w:val="22"/>
        </w:rPr>
        <w:t>ungenügenden begrifflichen Konzeption</w:t>
      </w:r>
      <w:r w:rsidRPr="00CB3FDD">
        <w:rPr>
          <w:sz w:val="22"/>
        </w:rPr>
        <w:t xml:space="preserve"> des Gesetzes, die im Vorentwurf nicht korrigiert wird. Das BehiG etabliert </w:t>
      </w:r>
      <w:r w:rsidRPr="00CB3FDD">
        <w:rPr>
          <w:b/>
          <w:sz w:val="22"/>
        </w:rPr>
        <w:t>zwei unterschiedliche Begriffe für dieselbe Problematik</w:t>
      </w:r>
      <w:r w:rsidRPr="00CB3FDD">
        <w:rPr>
          <w:sz w:val="22"/>
        </w:rPr>
        <w:t xml:space="preserve">: Benachteiligung (insbesondere Art. 2 Abs. 2) und Diskriminierung (insbesondere Art. 6). Diese </w:t>
      </w:r>
      <w:r w:rsidRPr="00CB3FDD">
        <w:rPr>
          <w:b/>
          <w:sz w:val="22"/>
        </w:rPr>
        <w:t>Begriffsverwendung lässt sich nicht sachlich begründen</w:t>
      </w:r>
      <w:r w:rsidRPr="00CB3FDD">
        <w:rPr>
          <w:sz w:val="22"/>
        </w:rPr>
        <w:t xml:space="preserve">. Selbst juristisch ausgebildete Personen stossen bei der Lektüre des Gesetzes an ihre Verständnisgrenzen, wenn sie zunächst in den Begriffsdefinitionen gemäss Art. 2 über «Benachteiligungen» lesen und dann in Art. 6 ff. plötzlich den zuvor nicht definierten Begriff der «Diskriminierung» vorfinden – der offenbar in Abgrenzung zur «Benachteiligung» auszulegen ist. Diese Verwirrung wird zusätzlich verschärft durch eine Definition der «Diskriminierung» auf Verordnungsstufe (Art. 2 lit. d BehiV), die </w:t>
      </w:r>
      <w:r w:rsidRPr="00CB3FDD">
        <w:rPr>
          <w:b/>
          <w:sz w:val="22"/>
        </w:rPr>
        <w:t xml:space="preserve">vom verfassungsrechtlichen </w:t>
      </w:r>
      <w:r w:rsidRPr="00CB3FDD">
        <w:rPr>
          <w:sz w:val="22"/>
        </w:rPr>
        <w:t xml:space="preserve">(und in der Rechtsprechung konkretisierten) </w:t>
      </w:r>
      <w:r w:rsidRPr="00CB3FDD">
        <w:rPr>
          <w:b/>
          <w:sz w:val="22"/>
        </w:rPr>
        <w:t>Diskriminierungsbegriff sowie vom Diskriminierungsbegriff nach Art. 2 Abs. 3 BRK entscheidend abweicht</w:t>
      </w:r>
      <w:r w:rsidRPr="00CB3FDD">
        <w:rPr>
          <w:sz w:val="22"/>
        </w:rPr>
        <w:t xml:space="preserve">. Insgesamt resultiert ein </w:t>
      </w:r>
      <w:r w:rsidRPr="00CB3FDD">
        <w:rPr>
          <w:b/>
          <w:sz w:val="22"/>
        </w:rPr>
        <w:t>unübersichtliches Gesetz</w:t>
      </w:r>
      <w:r w:rsidRPr="00CB3FDD">
        <w:rPr>
          <w:sz w:val="22"/>
        </w:rPr>
        <w:t>, das Rechtssuchende sowie rechtsanwendende Behörden und Gerichten nicht die nötige Klarheit bietet.</w:t>
      </w:r>
    </w:p>
    <w:p w14:paraId="5F75384D" w14:textId="77777777" w:rsidR="00CB3FDD" w:rsidRPr="00CB3FDD" w:rsidRDefault="00CB3FDD" w:rsidP="00CB3FDD">
      <w:pPr>
        <w:pStyle w:val="Textkrper"/>
        <w:rPr>
          <w:sz w:val="22"/>
        </w:rPr>
      </w:pPr>
      <w:r w:rsidRPr="00CB3FDD">
        <w:rPr>
          <w:sz w:val="22"/>
        </w:rPr>
        <w:t xml:space="preserve">Dies zeigt sich deutlich an der Tatsache, dass sich zwanzig Jahre nach Inkrafttreten des BehiG </w:t>
      </w:r>
      <w:r w:rsidRPr="00CB3FDD">
        <w:rPr>
          <w:b/>
          <w:sz w:val="22"/>
        </w:rPr>
        <w:t>keine Praxis für den tatsächlichen Schutz vor Diskriminierung bei Dienstleistungen Privater etablieren konnte</w:t>
      </w:r>
      <w:r w:rsidRPr="00CB3FDD">
        <w:rPr>
          <w:sz w:val="22"/>
        </w:rPr>
        <w:t xml:space="preserve">. Bekannt sind </w:t>
      </w:r>
      <w:r w:rsidRPr="00CB3FDD">
        <w:rPr>
          <w:b/>
          <w:sz w:val="22"/>
        </w:rPr>
        <w:t>nur zwei Gerichtsurteile</w:t>
      </w:r>
      <w:r w:rsidRPr="00CB3FDD">
        <w:rPr>
          <w:sz w:val="22"/>
        </w:rPr>
        <w:t xml:space="preserve"> zur Thematik: Im einzigen Bundesgerichtsurteil (BGE 138 I 475) begrenzt das Bundesgericht den Diskriminierungsschutz gestützt auf die Verordnungsbestimmung (Art. 2 lit. d BehiV) auf «besonders schockierende» Benachteiligungen. In einem Entscheid des Kantonsgerichts Appenzell Ausserrhoden (AR GVP 29/2017, Nr. 3704) wurde der bislang einzige Verstoss gegen Art. 6 BehiG festgestellt. Hier hatte ein Bad den Besuch einer Gruppe von Kindern mit Behinderung mit der Begründung abgelehnt, dass diese anderen Gäste potentiell stören würden. Insgesamt verfehlt das bestehende BehiG damit das Ziel, Diskriminierungen im Sinne von Art. 8 Abs. 2 BV auch unter Privaten wirksam zu verbieten</w:t>
      </w:r>
      <w:r w:rsidRPr="00CB3FDD">
        <w:rPr>
          <w:rStyle w:val="Funotenzeichen"/>
          <w:sz w:val="22"/>
        </w:rPr>
        <w:footnoteReference w:id="30"/>
      </w:r>
      <w:r w:rsidRPr="00CB3FDD">
        <w:rPr>
          <w:sz w:val="22"/>
        </w:rPr>
        <w:t>.</w:t>
      </w:r>
    </w:p>
    <w:p w14:paraId="2EFDC328" w14:textId="77777777" w:rsidR="00CB3FDD" w:rsidRPr="00CB3FDD" w:rsidRDefault="00CB3FDD" w:rsidP="00CB3FDD">
      <w:pPr>
        <w:pStyle w:val="berschrift3"/>
        <w:numPr>
          <w:ilvl w:val="2"/>
          <w:numId w:val="38"/>
        </w:numPr>
        <w:tabs>
          <w:tab w:val="num" w:pos="852"/>
        </w:tabs>
        <w:ind w:left="852" w:hanging="284"/>
        <w:rPr>
          <w:szCs w:val="22"/>
        </w:rPr>
      </w:pPr>
      <w:bookmarkStart w:id="42" w:name="_Ref161651031"/>
      <w:bookmarkStart w:id="43" w:name="_Toc161749147"/>
      <w:r w:rsidRPr="00CB3FDD">
        <w:rPr>
          <w:szCs w:val="22"/>
        </w:rPr>
        <w:t>Begriffliche Anpassung erforderlich</w:t>
      </w:r>
      <w:bookmarkEnd w:id="42"/>
      <w:bookmarkEnd w:id="43"/>
    </w:p>
    <w:p w14:paraId="58349F8F" w14:textId="77777777" w:rsidR="00CB3FDD" w:rsidRPr="00CB3FDD" w:rsidRDefault="00CB3FDD" w:rsidP="00CB3FDD">
      <w:pPr>
        <w:pStyle w:val="Textkrper"/>
        <w:rPr>
          <w:sz w:val="22"/>
        </w:rPr>
      </w:pPr>
      <w:r w:rsidRPr="00CB3FDD">
        <w:rPr>
          <w:sz w:val="22"/>
        </w:rPr>
        <w:t xml:space="preserve">Für eine tatsächliche Verbesserung des Diskriminierungsschutzes ist also </w:t>
      </w:r>
      <w:r w:rsidRPr="00CB3FDD">
        <w:rPr>
          <w:b/>
          <w:sz w:val="22"/>
        </w:rPr>
        <w:t>zwingend eine begriffliche Anpassung erforderlich</w:t>
      </w:r>
      <w:r w:rsidRPr="00CB3FDD">
        <w:rPr>
          <w:sz w:val="22"/>
        </w:rPr>
        <w:t xml:space="preserve">. Diese nimmt der Vorentwurf aber gerade nicht vor. Unter </w:t>
      </w:r>
      <w:r w:rsidRPr="00CB3FDD">
        <w:rPr>
          <w:b/>
          <w:sz w:val="22"/>
        </w:rPr>
        <w:t>Beibehaltung der geltenden begrifflichen Konzeption</w:t>
      </w:r>
      <w:r w:rsidRPr="00CB3FDD">
        <w:rPr>
          <w:sz w:val="22"/>
        </w:rPr>
        <w:t xml:space="preserve"> wird auch die </w:t>
      </w:r>
      <w:r w:rsidRPr="00CB3FDD">
        <w:rPr>
          <w:b/>
          <w:sz w:val="22"/>
        </w:rPr>
        <w:t>begrüssenswerte Erweiterung des Geltungsbereichs</w:t>
      </w:r>
      <w:r w:rsidRPr="00CB3FDD">
        <w:rPr>
          <w:sz w:val="22"/>
        </w:rPr>
        <w:t xml:space="preserve"> in Art. 3 Bst. g (mit Bezug auf Arbeitsverhältnisse) </w:t>
      </w:r>
      <w:r w:rsidRPr="00CB3FDD">
        <w:rPr>
          <w:b/>
          <w:sz w:val="22"/>
        </w:rPr>
        <w:t>sowie der Rechtansprüche</w:t>
      </w:r>
      <w:r w:rsidRPr="00CB3FDD">
        <w:rPr>
          <w:sz w:val="22"/>
        </w:rPr>
        <w:t xml:space="preserve"> in Art. 8 Abs. 3 und 8a Abs. 1 (Verbot, Beseitigung und Feststellung) </w:t>
      </w:r>
      <w:r w:rsidRPr="00CB3FDD">
        <w:rPr>
          <w:b/>
          <w:sz w:val="22"/>
        </w:rPr>
        <w:t>ins Leere laufen</w:t>
      </w:r>
      <w:r w:rsidRPr="00CB3FDD">
        <w:rPr>
          <w:sz w:val="22"/>
        </w:rPr>
        <w:t xml:space="preserve">: Solange – aufgrund der gestützt auf die </w:t>
      </w:r>
      <w:r w:rsidRPr="00CB3FDD">
        <w:rPr>
          <w:sz w:val="22"/>
        </w:rPr>
        <w:lastRenderedPageBreak/>
        <w:t xml:space="preserve">Verordnungsbestimmung restriktiven Begriffsauslegung – keine Diskriminierung festgestellt werden kann, können auch keine entsprechenden Ansprüche begründet werden. Bei der aktuellen Konzeption wird der Schutzgehalt des horizontalen Diskriminierungsverbotes weiterhin durch die Begriffsdefinition auf Verordnungsebene vorgegeben. Es kann nicht davon ausgegangen werden, dass die restriktive Definition in der Verordnungsbestimmung ausgeweitet wird. </w:t>
      </w:r>
      <w:r w:rsidRPr="00CB3FDD">
        <w:rPr>
          <w:b/>
          <w:sz w:val="22"/>
        </w:rPr>
        <w:t>Ohnehin ist es nicht mit Art. 164 BV vereinbar, den Erlass einer grundlegenden Bestimmung wie der Definition eines Diskriminierungsbegriffs dem Verordnungsgeber zu überlassen</w:t>
      </w:r>
      <w:r w:rsidRPr="00CB3FDD">
        <w:rPr>
          <w:sz w:val="22"/>
        </w:rPr>
        <w:t>. Angesichts ihrer entscheidenden Funktion mit Bezug auf den materiellen Schutz, den das BehiG gewährleistet (oder je nach Definition der Diskriminierung eben auch nicht), müsste der Begriff der Diskriminierung im Gesetz selber festgehalten werden. Wie unklar es ist, was der VE-BehiG genau mit «Diskriminierung» meint, zeigt sich in den Erläuterungen zu Art. 6 VE-BehiG</w:t>
      </w:r>
      <w:r w:rsidRPr="00CB3FDD">
        <w:rPr>
          <w:rStyle w:val="Funotenzeichen"/>
          <w:sz w:val="22"/>
        </w:rPr>
        <w:footnoteReference w:id="31"/>
      </w:r>
      <w:r w:rsidRPr="00CB3FDD">
        <w:rPr>
          <w:sz w:val="22"/>
        </w:rPr>
        <w:t xml:space="preserve"> sehr deutlich:</w:t>
      </w:r>
    </w:p>
    <w:p w14:paraId="75DA1C78" w14:textId="77777777" w:rsidR="00CB3FDD" w:rsidRPr="00CB3FDD" w:rsidRDefault="00CB3FDD" w:rsidP="00CB3FDD">
      <w:pPr>
        <w:pStyle w:val="Textkrper"/>
        <w:numPr>
          <w:ilvl w:val="0"/>
          <w:numId w:val="40"/>
        </w:numPr>
        <w:spacing w:line="280" w:lineRule="exact"/>
        <w:jc w:val="both"/>
        <w:rPr>
          <w:sz w:val="22"/>
        </w:rPr>
      </w:pPr>
      <w:r w:rsidRPr="00CB3FDD">
        <w:rPr>
          <w:sz w:val="22"/>
        </w:rPr>
        <w:t>«Abs. 1 dieser Bestimmung verbietet Diskriminierungen aufgrund einer Behinderung durch Private, die öffentlich Dienstleistungen anbieten. Dazu gehören sowohl direkte Diskriminierungen (Regelungen oder Massnahmen, die an das Merkmal «Behinderung» anknüpfen, die zu einer Schlechterstellung führen und sich nicht durch ernsthafte, triftige Gründe rechtfertigen lassen) als auch indirekte Diskriminierungen (der Zugang zu oder die Inanspruchnahme von Dienstleistungen für Menschen mit Behinderungen wird erschwert oder verunmöglicht).» Damit umschreiben die Erläuterungen «Diskriminierung» gleich wie den Begriff der Benachteiligung gemäss Art. 2 Abs. 2 BehiG. Wieso dann zwei Begriffe?</w:t>
      </w:r>
    </w:p>
    <w:p w14:paraId="4B831A89" w14:textId="0D26D2BE" w:rsidR="00CB3FDD" w:rsidRPr="00CB3FDD" w:rsidRDefault="00CB3FDD" w:rsidP="00CB3FDD">
      <w:pPr>
        <w:pStyle w:val="Textkrper"/>
        <w:numPr>
          <w:ilvl w:val="0"/>
          <w:numId w:val="40"/>
        </w:numPr>
        <w:spacing w:line="280" w:lineRule="exact"/>
        <w:jc w:val="both"/>
        <w:rPr>
          <w:sz w:val="22"/>
        </w:rPr>
      </w:pPr>
      <w:r w:rsidRPr="00CB3FDD">
        <w:rPr>
          <w:sz w:val="22"/>
        </w:rPr>
        <w:t xml:space="preserve">Dann aber weiter, im nächsten Satz: «Das Diskriminierungsverbot gilt für alle Anbieter, die öffentliche Dienstleistungen erbringen. Materiell entspricht diese Bestimmung dem geltenden Recht.» Geltendes Recht ist die Reduktion des Verständnisses von Diskriminierungen auf absichtliche, besonders stossende Verhaltensweisen (so das Bundesgericht zu Art. 6 BehiG, dazu Ziff. </w:t>
      </w:r>
      <w:r w:rsidRPr="00CB3FDD">
        <w:rPr>
          <w:sz w:val="22"/>
        </w:rPr>
        <w:fldChar w:fldCharType="begin"/>
      </w:r>
      <w:r w:rsidRPr="00CB3FDD">
        <w:rPr>
          <w:sz w:val="22"/>
        </w:rPr>
        <w:instrText xml:space="preserve"> REF _Ref161648166 \r \h </w:instrText>
      </w:r>
      <w:r>
        <w:rPr>
          <w:sz w:val="22"/>
        </w:rPr>
        <w:instrText xml:space="preserve"> \* MERGEFORMAT </w:instrText>
      </w:r>
      <w:r w:rsidRPr="00CB3FDD">
        <w:rPr>
          <w:sz w:val="22"/>
        </w:rPr>
      </w:r>
      <w:r w:rsidRPr="00CB3FDD">
        <w:rPr>
          <w:sz w:val="22"/>
        </w:rPr>
        <w:fldChar w:fldCharType="separate"/>
      </w:r>
      <w:r w:rsidR="00663FF0">
        <w:rPr>
          <w:sz w:val="22"/>
        </w:rPr>
        <w:t>2</w:t>
      </w:r>
      <w:r w:rsidRPr="00CB3FDD">
        <w:rPr>
          <w:sz w:val="22"/>
        </w:rPr>
        <w:fldChar w:fldCharType="end"/>
      </w:r>
      <w:r w:rsidRPr="00CB3FDD">
        <w:rPr>
          <w:sz w:val="22"/>
        </w:rPr>
        <w:t xml:space="preserve">). Also doch nicht das Gleiche wie die Benachteiligung nach Art. 2 Abs. 2 BehiG? Und doch nicht mehr als bisher? </w:t>
      </w:r>
    </w:p>
    <w:p w14:paraId="7F9DC5D1" w14:textId="77777777" w:rsidR="00CB3FDD" w:rsidRPr="00CB3FDD" w:rsidRDefault="00CB3FDD" w:rsidP="00CB3FDD">
      <w:pPr>
        <w:pStyle w:val="Textkrper"/>
        <w:numPr>
          <w:ilvl w:val="0"/>
          <w:numId w:val="40"/>
        </w:numPr>
        <w:spacing w:line="280" w:lineRule="exact"/>
        <w:jc w:val="both"/>
        <w:rPr>
          <w:sz w:val="22"/>
        </w:rPr>
      </w:pPr>
      <w:r w:rsidRPr="00CB3FDD">
        <w:rPr>
          <w:sz w:val="22"/>
        </w:rPr>
        <w:t>Aber was bringt dann das Recht auf angemessene Vorkehrungen überhaupt, wenn die Diskriminierung als Folge eines zu engen Begriffs gar nicht bejaht wird, die erst den Anspruch auf angemessene Vorkehrungen eröffnet? Oder ist es doch eine Benachteiligung (im Sinne von Art. 2 Abs. 2 BehiG?), die bereits den Anspruch auf angemessene Vorkehrungen eröffnet (siehe der Wortlaut von Art. 6 Abs. 2 und Art. 8 Abs. 2 VE-BehiG). Siehe auch die Erläuterungen:</w:t>
      </w:r>
      <w:r w:rsidRPr="00CB3FDD">
        <w:rPr>
          <w:rStyle w:val="Funotenzeichen"/>
          <w:sz w:val="22"/>
        </w:rPr>
        <w:footnoteReference w:id="32"/>
      </w:r>
      <w:r w:rsidRPr="00CB3FDD">
        <w:rPr>
          <w:sz w:val="22"/>
        </w:rPr>
        <w:t xml:space="preserve"> «Mit dem neuen Abs. 2 wird eine Verpflichtung zur Verhinderung, Verringerung und Beseitigung von Benachteiligungen durch angemessene Vorkehrungen eingeführt. Hierbei handelt es sich um Vorkehrungen, die den Zugang zu Dienstleistungen oder deren Nutzung ermöglichen sollen.» Wieso aber dann in Abs. 1 am Begriff der «Diskriminierung» anknüpfen?</w:t>
      </w:r>
    </w:p>
    <w:p w14:paraId="62BAF123" w14:textId="77777777" w:rsidR="00CB3FDD" w:rsidRPr="00CB3FDD" w:rsidRDefault="00CB3FDD" w:rsidP="00CB3FDD">
      <w:pPr>
        <w:pStyle w:val="Textkrper"/>
        <w:numPr>
          <w:ilvl w:val="0"/>
          <w:numId w:val="40"/>
        </w:numPr>
        <w:spacing w:line="280" w:lineRule="exact"/>
        <w:jc w:val="both"/>
        <w:rPr>
          <w:sz w:val="22"/>
        </w:rPr>
      </w:pPr>
      <w:r w:rsidRPr="00CB3FDD">
        <w:rPr>
          <w:sz w:val="22"/>
        </w:rPr>
        <w:t>Darüber hinaus drohen auch die Ausführungen im erläuternden Bericht, die eine enge Anlehnung Diskriminierungsbegriff an die zivilrechtliche Persönlichkeitsverletzung nahelegen, zu einer restriktiven Auslegung beizusteuern.</w:t>
      </w:r>
      <w:r w:rsidRPr="00CB3FDD">
        <w:rPr>
          <w:rStyle w:val="Funotenzeichen"/>
          <w:sz w:val="22"/>
        </w:rPr>
        <w:footnoteReference w:id="33"/>
      </w:r>
      <w:r w:rsidRPr="00CB3FDD">
        <w:rPr>
          <w:sz w:val="22"/>
        </w:rPr>
        <w:t xml:space="preserve"> Einer gehörlosen Person etwa, </w:t>
      </w:r>
      <w:r w:rsidRPr="00CB3FDD">
        <w:rPr>
          <w:sz w:val="22"/>
        </w:rPr>
        <w:lastRenderedPageBreak/>
        <w:t>der der Zugang zu einer Gebärdensprachdolmetschung verweigert wird, oder einer sehbehinderten Person, die mangels Einhaltung technischer Vorschriften eine Website nicht benutzen kann, sind ihrer Persönlichkeit wohl kaum im Sinne von Art. 28 ZGB tangiert.</w:t>
      </w:r>
    </w:p>
    <w:p w14:paraId="38C1C2A0" w14:textId="77777777" w:rsidR="00CB3FDD" w:rsidRPr="00CB3FDD" w:rsidRDefault="00CB3FDD" w:rsidP="00CB3FDD">
      <w:pPr>
        <w:pStyle w:val="Textkrper"/>
        <w:rPr>
          <w:sz w:val="22"/>
        </w:rPr>
      </w:pPr>
      <w:r w:rsidRPr="00CB3FDD">
        <w:rPr>
          <w:sz w:val="22"/>
        </w:rPr>
        <w:t>Der Vorentwurf wird die tatsächlichen Benachteiligungen beim Zugang zu Dienstleistungen Privater sowie in privatrechtlichen Arbeitsverhältnissen nicht reduzieren oder eliminieren. Es besteht vielmehr die ernsthafte Gefahr, dass sich als Folge der soeben erwähnten Rechtsunsicherheit an der heutigen untragbaren Praxis künftig nichts ändern wird.</w:t>
      </w:r>
    </w:p>
    <w:p w14:paraId="7C545813" w14:textId="77777777" w:rsidR="00CB3FDD" w:rsidRPr="00CB3FDD" w:rsidRDefault="00CB3FDD" w:rsidP="00CB3FDD">
      <w:pPr>
        <w:pStyle w:val="berschrift3"/>
        <w:numPr>
          <w:ilvl w:val="2"/>
          <w:numId w:val="38"/>
        </w:numPr>
        <w:tabs>
          <w:tab w:val="num" w:pos="852"/>
        </w:tabs>
        <w:ind w:left="852" w:hanging="284"/>
        <w:rPr>
          <w:szCs w:val="22"/>
        </w:rPr>
      </w:pPr>
      <w:bookmarkStart w:id="44" w:name="_Toc161749148"/>
      <w:r w:rsidRPr="00CB3FDD">
        <w:rPr>
          <w:szCs w:val="22"/>
        </w:rPr>
        <w:t>Zwei mögliche Lösungsansätze</w:t>
      </w:r>
      <w:bookmarkEnd w:id="44"/>
    </w:p>
    <w:p w14:paraId="4AC3DCF1" w14:textId="77777777" w:rsidR="00CB3FDD" w:rsidRPr="00CB3FDD" w:rsidRDefault="00CB3FDD" w:rsidP="00CB3FDD">
      <w:pPr>
        <w:pStyle w:val="Textkrper"/>
        <w:rPr>
          <w:sz w:val="22"/>
        </w:rPr>
      </w:pPr>
      <w:r w:rsidRPr="00CB3FDD">
        <w:rPr>
          <w:sz w:val="22"/>
        </w:rPr>
        <w:t>Für die Korrektur der begrifflichen Unzulänglichkeit des BehiG bieten sich zwei Lösungsansätze an:</w:t>
      </w:r>
    </w:p>
    <w:p w14:paraId="56FFF61F" w14:textId="77777777" w:rsidR="00CB3FDD" w:rsidRPr="00CB3FDD" w:rsidRDefault="00CB3FDD" w:rsidP="00CB3FDD">
      <w:pPr>
        <w:pStyle w:val="Textkrper"/>
        <w:rPr>
          <w:sz w:val="22"/>
        </w:rPr>
      </w:pPr>
      <w:r w:rsidRPr="00CB3FDD">
        <w:rPr>
          <w:sz w:val="22"/>
          <w:u w:val="single"/>
        </w:rPr>
        <w:t>Variante 1</w:t>
      </w:r>
      <w:r w:rsidRPr="00CB3FDD">
        <w:rPr>
          <w:sz w:val="22"/>
        </w:rPr>
        <w:t>: Die einfachere, sachgerechtere und praktikablere Lösung besteht in der Etablierung einer einheitlichen Terminologie, wie sie bereits die Kantone Basel-Stadt, Basel-Landschaft und Wallis kennen. Diese verzichten in ihrer Gesetzgebung auf eine parallele Verwendung von zwei unterschiedlichen Begriffen und verwenden eine einheitliche Terminologie («Benachteiligung») sowohl betreffend die Verpflichtungen von Behörden wie auch von Privaten. Dieser Blick auf die kantonale Gesetzgebung macht deutlich, dass es nicht relevant ist, welche Terminologie verwendet wird, sondern dass diese einheitlich konzipiert ist und inhaltlich in Übereinstimmung mit Art. 2 Abs. 3 und Art. 5 BRK definiert wird.</w:t>
      </w:r>
    </w:p>
    <w:p w14:paraId="3491E4AB" w14:textId="77777777" w:rsidR="00CB3FDD" w:rsidRPr="00CB3FDD" w:rsidRDefault="00CB3FDD" w:rsidP="00CB3FDD">
      <w:pPr>
        <w:pStyle w:val="Textkrper"/>
        <w:rPr>
          <w:sz w:val="22"/>
        </w:rPr>
      </w:pPr>
      <w:r w:rsidRPr="00CB3FDD">
        <w:rPr>
          <w:sz w:val="22"/>
        </w:rPr>
        <w:t xml:space="preserve">Für die Revision des BehiG würde dies bedeuten, die im Gesetz verwendete Terminologie umfassend zu prüfen und zu vereinheitlichen. Erforderlich wäre insbesondere, in den Artikeln 6, 6a, 8, 8a, 9a, 9b und 11 den Begriff der Diskriminierung durch den der Begriff der Benachteiligung zu ersetzen. Auch Art. 2 BehiG müsste grundsätzlich angepasst werden (Angleichung der Definition von Benachteiligung nach BehiG an die Definition von Diskriminierung gemäss Art. 2 Abs. 3 BRK). Das Gesetz würde – im Sinne seines Titels – somit einheitlich die Beseitigung von </w:t>
      </w:r>
      <w:r w:rsidRPr="00CB3FDD">
        <w:rPr>
          <w:i/>
          <w:sz w:val="22"/>
        </w:rPr>
        <w:t>Benachteiligungen</w:t>
      </w:r>
      <w:r w:rsidRPr="00CB3FDD">
        <w:rPr>
          <w:sz w:val="22"/>
        </w:rPr>
        <w:t xml:space="preserve"> von Menschen mit Behinderungen regeln. Der Begriff der Diskriminierung würde entfallen und es bedürfte damit auch keiner Definition dieses Begriffes. Durch die Anwendung des Begriffs der Benachteiligung auf private Dienstleistungen und privatrechtliche Arbeitsverhältnisse würde das Gesetz an Klarheit gewinnen. Der bislang eingeschränkte Schutzgehalt bei privatrechtlichen Rechtsverhältnissen würde ausgeweitet und demjenigen bei öffentlich-rechtlichen Rechtsverhältnissen angeglichen. Die Frage des Ausmasses der Verpflichtung wird durch den Grundsatz der Verhältnismässigkeit beantwortet.</w:t>
      </w:r>
    </w:p>
    <w:p w14:paraId="5BFE530E" w14:textId="526A38ED" w:rsidR="00CB3FDD" w:rsidRPr="00CB3FDD" w:rsidRDefault="00CB3FDD" w:rsidP="00CB3FDD">
      <w:pPr>
        <w:pStyle w:val="Textkrper"/>
        <w:rPr>
          <w:sz w:val="22"/>
        </w:rPr>
      </w:pPr>
      <w:r w:rsidRPr="00CB3FDD">
        <w:rPr>
          <w:sz w:val="22"/>
          <w:u w:val="single"/>
        </w:rPr>
        <w:t>Variante 2</w:t>
      </w:r>
      <w:r w:rsidRPr="00CB3FDD">
        <w:rPr>
          <w:sz w:val="22"/>
        </w:rPr>
        <w:t xml:space="preserve">: Sollte – entgegen der Auffassung von </w:t>
      </w:r>
      <w:r w:rsidR="00E93B6D">
        <w:rPr>
          <w:sz w:val="22"/>
        </w:rPr>
        <w:t>Pro Infirmis</w:t>
      </w:r>
      <w:r w:rsidRPr="00CB3FDD">
        <w:rPr>
          <w:sz w:val="22"/>
        </w:rPr>
        <w:t xml:space="preserve"> – nicht dem vorangehend skizzierten Ansatz (Variante 1) gefolgt werden, so müsste zumindest eine Definition des Diskriminierungsbegriffs auf Gesetzesstufe eingeführt werden. Wie vorangehend erwähnt, ist die Definition des Diskriminierungsbegriffs auf Verordnungsstufe verfassungsrechtlich ohnehin nicht zulässig. Die Definition sollte dem völkerrechtlichen Diskriminierungsbegriff im Sinne von Art. 2 Abs. 3 BRK entsprechen. Art. 2 BehiG müsste hierzu um einen weiteren Absatz ergänzt werden.</w:t>
      </w:r>
    </w:p>
    <w:p w14:paraId="46C51F3F" w14:textId="77777777" w:rsidR="00CB3FDD" w:rsidRPr="00CB3FDD" w:rsidRDefault="00CB3FDD" w:rsidP="00CB3FDD">
      <w:pPr>
        <w:pStyle w:val="Textkrper"/>
        <w:rPr>
          <w:sz w:val="22"/>
        </w:rPr>
      </w:pPr>
      <w:r w:rsidRPr="00CB3FDD">
        <w:rPr>
          <w:sz w:val="22"/>
        </w:rPr>
        <w:lastRenderedPageBreak/>
        <w:t>Der Nachteil dieses Lösungsansatzes (Variante 2) besteht darin, dass die Rechtsprechung bereits eine restriktive Auslegung des Diskriminierungsbegriffs im Sinnes des BehiG etabliert hat und sich – selbst bei Einführung einer präziseren und weiter gefassten Definition auf Gesetzesstufe – weiterhin an dieser orientieren könnte. Mit anderen Worten hat in der Rechtsprechung bereits eine problematische Differenzierung eines zweiten, restriktiveren Diskriminierungsbegriffs gegenüber dem verfassungsrechtlichen sowie dem völkerrechtlichen Begriff stattgefunden. Es scheint unklar, ob diese Begriffe durch eine gesetzgeberische Anpassung wieder praxiswirksam zusammengeführt werden können.</w:t>
      </w:r>
    </w:p>
    <w:p w14:paraId="134C8197" w14:textId="77777777" w:rsidR="00CB3FDD" w:rsidRPr="00CB3FDD" w:rsidRDefault="00CB3FDD" w:rsidP="00CB3FDD">
      <w:pPr>
        <w:pStyle w:val="berschrift3"/>
        <w:numPr>
          <w:ilvl w:val="2"/>
          <w:numId w:val="38"/>
        </w:numPr>
        <w:tabs>
          <w:tab w:val="num" w:pos="852"/>
        </w:tabs>
        <w:ind w:left="852" w:hanging="284"/>
        <w:rPr>
          <w:szCs w:val="22"/>
        </w:rPr>
      </w:pPr>
      <w:bookmarkStart w:id="45" w:name="_Ref161652603"/>
      <w:bookmarkStart w:id="46" w:name="_Toc161749149"/>
      <w:r w:rsidRPr="00CB3FDD">
        <w:rPr>
          <w:szCs w:val="22"/>
        </w:rPr>
        <w:t>Zu den angemessenen Vorkehrungen</w:t>
      </w:r>
      <w:bookmarkEnd w:id="45"/>
      <w:bookmarkEnd w:id="46"/>
    </w:p>
    <w:p w14:paraId="79143F31" w14:textId="405B5B96" w:rsidR="00CB3FDD" w:rsidRPr="00CB3FDD" w:rsidRDefault="00CB3FDD" w:rsidP="00CB3FDD">
      <w:pPr>
        <w:pStyle w:val="Textkrper"/>
        <w:rPr>
          <w:sz w:val="22"/>
        </w:rPr>
      </w:pPr>
      <w:r w:rsidRPr="00CB3FDD">
        <w:rPr>
          <w:sz w:val="22"/>
        </w:rPr>
        <w:t xml:space="preserve">Die Einführung der Verpflichtung Privater, angemessene Vorkehrungen zu treffen ist zu begrüssen. Auch diesbezüglich ergeben sich aufgrund der aktuellen zweiteiligen begrifflichen Konzeption aber Probleme: So verweist Art. 12a VE-BehiG auf die Interessenabwägung gemäss Art. 11 Abs. 1 BehiG. Diese Bestimmung bezieht sich allerdings wiederum auf «Benachteiligungen» und nicht auf «Diskriminierungen». So bleibt unklar, inwiefern Art. 11 Abs. 1 BehiG bei fraglichen «Diskriminierungen» Privater nun angewandt werden soll. Ferner enthalten wie bereits erwähnt (Ziff. </w:t>
      </w:r>
      <w:r w:rsidRPr="00CB3FDD">
        <w:rPr>
          <w:sz w:val="22"/>
        </w:rPr>
        <w:fldChar w:fldCharType="begin"/>
      </w:r>
      <w:r w:rsidRPr="00CB3FDD">
        <w:rPr>
          <w:sz w:val="22"/>
        </w:rPr>
        <w:instrText xml:space="preserve"> REF _Ref161651031 \r \h </w:instrText>
      </w:r>
      <w:r>
        <w:rPr>
          <w:sz w:val="22"/>
        </w:rPr>
        <w:instrText xml:space="preserve"> \* MERGEFORMAT </w:instrText>
      </w:r>
      <w:r w:rsidRPr="00CB3FDD">
        <w:rPr>
          <w:sz w:val="22"/>
        </w:rPr>
      </w:r>
      <w:r w:rsidRPr="00CB3FDD">
        <w:rPr>
          <w:sz w:val="22"/>
        </w:rPr>
        <w:fldChar w:fldCharType="separate"/>
      </w:r>
      <w:r w:rsidR="00663FF0">
        <w:rPr>
          <w:sz w:val="22"/>
        </w:rPr>
        <w:t>4.2.2</w:t>
      </w:r>
      <w:r w:rsidRPr="00CB3FDD">
        <w:rPr>
          <w:sz w:val="22"/>
        </w:rPr>
        <w:fldChar w:fldCharType="end"/>
      </w:r>
      <w:r w:rsidRPr="00CB3FDD">
        <w:rPr>
          <w:sz w:val="22"/>
        </w:rPr>
        <w:t>) Art. 6 Abs. 2 sowie Art. 6a Abs. 2 VE-BehiG gemäss der Vorlage anders als der jeweilige Abs. 1 den Begriff der «Benachteiligung». Das Verhältnis zwischen Abs. 1 und Abs. 2 erscheint so schleierhaft. Zwar äussert sich der erläuternde Bericht betreffend Private Dienstleistungen wie folgt hierzu: «Die Weigerung, in einem konkreten Fall eine angemessene Vorkehrung zu treffen, kann eine Diskriminierung darstellen.»</w:t>
      </w:r>
      <w:r w:rsidRPr="00CB3FDD">
        <w:rPr>
          <w:sz w:val="22"/>
          <w:vertAlign w:val="superscript"/>
        </w:rPr>
        <w:footnoteReference w:id="34"/>
      </w:r>
      <w:r w:rsidRPr="00CB3FDD">
        <w:rPr>
          <w:sz w:val="22"/>
        </w:rPr>
        <w:t>. Auch eine systematische Auslegung mit Blick auf Art. 8 Abs. 4 und Art. 8a Abs. 4 VE-BehiG führt zu diesem Ergebnis. Diese Intention sollte sich aber ausdrücklich im Gesetzeswortlaut von Art. 6 Abs. 2 sowie Art. 6a Abs. 2 VE-BehiG niederschlagen. Auch diese Probleme würden durch die Einführung einer einheitlichen Begrifflichkeit behoben. Sofern der Begriff der Diskriminierung dennoch beibehalten wird (Variante 2), müssten noch verschiedene begriffliche Unstimmigkeiten beseitigt werden. Insbesondere müsste bei Art. 6 Abs. 2 sowie Art. 6a Abs. 2 VE-BehiG zur Klärung jeweils ein zweiter Satz eingefügt werden: «Die Weigerung, angemessene Vorkehrungen zu treffen, bedeutet eine Diskriminierung im Sinne von Abs. 1».</w:t>
      </w:r>
    </w:p>
    <w:p w14:paraId="18C923A1" w14:textId="77777777" w:rsidR="00CB3FDD" w:rsidRPr="00CB3FDD" w:rsidRDefault="00CB3FDD" w:rsidP="00CB3FDD">
      <w:pPr>
        <w:pStyle w:val="Textkrper"/>
        <w:rPr>
          <w:sz w:val="22"/>
        </w:rPr>
      </w:pPr>
      <w:r w:rsidRPr="00CB3FDD">
        <w:rPr>
          <w:sz w:val="22"/>
        </w:rPr>
        <w:t>Auch bei Art. 6 Abs. 3 VE-BehiG sollte das Verhältnis zu Abs. 1 ausdrücklich im Wortlaut ersichtlich werden. Dies könnte beispielsweise durch die folgende Ergänzung des ersten Satzes erfolgen: «Digital angebotene Dienstleistungen müssen hinsichtlich der Zugänglichkeit für Menschen mit Behinderungen den internationalen und nationalen Informatikstandards entsprechen, andernfalls liegt eine Diskriminierung im Sinne von Abs. 1 vor.»</w:t>
      </w:r>
    </w:p>
    <w:p w14:paraId="77688F75" w14:textId="77777777" w:rsidR="00CB3FDD" w:rsidRPr="00CB3FDD" w:rsidRDefault="00CB3FDD" w:rsidP="00CB3FDD">
      <w:pPr>
        <w:pStyle w:val="berschrift2"/>
        <w:numPr>
          <w:ilvl w:val="1"/>
          <w:numId w:val="38"/>
        </w:numPr>
        <w:tabs>
          <w:tab w:val="num" w:pos="568"/>
        </w:tabs>
        <w:ind w:left="568" w:hanging="284"/>
        <w:rPr>
          <w:sz w:val="22"/>
          <w:szCs w:val="22"/>
        </w:rPr>
      </w:pPr>
      <w:bookmarkStart w:id="47" w:name="_Ref161723033"/>
      <w:bookmarkStart w:id="48" w:name="_Ref161724722"/>
      <w:bookmarkStart w:id="49" w:name="_Ref161724969"/>
      <w:bookmarkStart w:id="50" w:name="_Toc161749150"/>
      <w:r w:rsidRPr="00CB3FDD">
        <w:rPr>
          <w:sz w:val="22"/>
          <w:szCs w:val="22"/>
        </w:rPr>
        <w:t>Arbeitsverhältnisse (Art. 3 lit. g, 6a und 8a VE-BehiG)</w:t>
      </w:r>
      <w:bookmarkEnd w:id="47"/>
      <w:bookmarkEnd w:id="48"/>
      <w:bookmarkEnd w:id="49"/>
      <w:bookmarkEnd w:id="50"/>
    </w:p>
    <w:p w14:paraId="01546FA6" w14:textId="77777777" w:rsidR="00CB3FDD" w:rsidRPr="00CB3FDD" w:rsidRDefault="00CB3FDD" w:rsidP="00CB3FDD">
      <w:pPr>
        <w:pStyle w:val="Textkrper"/>
        <w:rPr>
          <w:sz w:val="22"/>
          <w:lang w:eastAsia="de-CH"/>
        </w:rPr>
      </w:pPr>
      <w:r w:rsidRPr="00CB3FDD">
        <w:rPr>
          <w:sz w:val="22"/>
          <w:lang w:eastAsia="de-CH"/>
        </w:rPr>
        <w:t xml:space="preserve">Bisher war der Geltungsbereich des BehiG im Bereich Arbeit auf die Arbeitsverhältnisse nach Bundespersonalgesetz beschränkt. Neu sollen auch die Arbeitsverhältnisse nach Obligationenrecht sowie die öffentlich-rechtlichen Arbeitsverhältnisse nach kantonalem und kommunalem Recht erfasst werden, wie dies bereits nach Art. 2 GlG der Fall ist. Diese </w:t>
      </w:r>
      <w:r w:rsidRPr="00CB3FDD">
        <w:rPr>
          <w:sz w:val="22"/>
        </w:rPr>
        <w:t>Anpassung</w:t>
      </w:r>
      <w:r w:rsidRPr="00CB3FDD">
        <w:rPr>
          <w:sz w:val="22"/>
          <w:lang w:eastAsia="de-CH"/>
        </w:rPr>
        <w:t xml:space="preserve"> ist angesichts der schwerwiegenden Probleme, mit welchen sich Menschen mit Behinderungen auf dem Arbeitsmarkt konfrontiert sehen</w:t>
      </w:r>
      <w:r w:rsidRPr="00CB3FDD">
        <w:rPr>
          <w:rStyle w:val="Funotenzeichen"/>
          <w:sz w:val="22"/>
          <w:lang w:eastAsia="de-CH"/>
        </w:rPr>
        <w:footnoteReference w:id="35"/>
      </w:r>
      <w:r w:rsidRPr="00CB3FDD">
        <w:rPr>
          <w:sz w:val="22"/>
          <w:lang w:eastAsia="de-CH"/>
        </w:rPr>
        <w:t xml:space="preserve">, </w:t>
      </w:r>
      <w:r w:rsidRPr="00CB3FDD">
        <w:rPr>
          <w:b/>
          <w:sz w:val="22"/>
          <w:lang w:eastAsia="de-CH"/>
        </w:rPr>
        <w:t>dringend nötig und entsprechend sehr zu begrüssen</w:t>
      </w:r>
      <w:r w:rsidRPr="00CB3FDD">
        <w:rPr>
          <w:sz w:val="22"/>
          <w:lang w:eastAsia="de-CH"/>
        </w:rPr>
        <w:t>. Sie stellt einen Beitrag zur Umsetzung der Schlussempfehlungen des BRK-Ausschusses dar.</w:t>
      </w:r>
      <w:r w:rsidRPr="00CB3FDD">
        <w:rPr>
          <w:rStyle w:val="Funotenzeichen"/>
          <w:sz w:val="22"/>
          <w:lang w:eastAsia="de-CH"/>
        </w:rPr>
        <w:footnoteReference w:id="36"/>
      </w:r>
      <w:r w:rsidRPr="00CB3FDD">
        <w:rPr>
          <w:sz w:val="22"/>
          <w:lang w:eastAsia="de-CH"/>
        </w:rPr>
        <w:t xml:space="preserve"> </w:t>
      </w:r>
    </w:p>
    <w:p w14:paraId="1F4BD566" w14:textId="1364D029" w:rsidR="00CB3FDD" w:rsidRPr="00CB3FDD" w:rsidRDefault="00CB3FDD" w:rsidP="00CB3FDD">
      <w:pPr>
        <w:pStyle w:val="Textkrper"/>
        <w:rPr>
          <w:sz w:val="22"/>
          <w:lang w:eastAsia="de-CH"/>
        </w:rPr>
      </w:pPr>
      <w:r w:rsidRPr="00CB3FDD">
        <w:rPr>
          <w:sz w:val="22"/>
          <w:lang w:eastAsia="de-CH"/>
        </w:rPr>
        <w:lastRenderedPageBreak/>
        <w:t xml:space="preserve">Doch ob sich diese Erweiterung des Geltungsbereichs auch tatsächlich auf das Leben von Menschen mit Behinderungen </w:t>
      </w:r>
      <w:r w:rsidRPr="00CB3FDD">
        <w:rPr>
          <w:sz w:val="22"/>
        </w:rPr>
        <w:t>auswirken</w:t>
      </w:r>
      <w:r w:rsidRPr="00CB3FDD">
        <w:rPr>
          <w:sz w:val="22"/>
          <w:lang w:eastAsia="de-CH"/>
        </w:rPr>
        <w:t xml:space="preserve"> wird, hängt umfassend davon ab, was unter Diskriminierung verstanden wird. Indem der VE-BehiG mit Bezug auf den Arbeitsbereich an der parallelen Verwendung der Begriffe Benachteiligung und Diskriminierung festhält und zudem auch darauf verzichtet, den Begriff der Diskriminierung zu definieren (dazu </w:t>
      </w:r>
      <w:r w:rsidRPr="00CB3FDD">
        <w:rPr>
          <w:sz w:val="22"/>
          <w:lang w:eastAsia="de-CH"/>
        </w:rPr>
        <w:fldChar w:fldCharType="begin"/>
      </w:r>
      <w:r w:rsidRPr="00CB3FDD">
        <w:rPr>
          <w:sz w:val="22"/>
          <w:lang w:eastAsia="de-CH"/>
        </w:rPr>
        <w:instrText xml:space="preserve"> REF _Ref161560698 \r \h  \* MERGEFORMAT </w:instrText>
      </w:r>
      <w:r w:rsidRPr="00CB3FDD">
        <w:rPr>
          <w:sz w:val="22"/>
          <w:lang w:eastAsia="de-CH"/>
        </w:rPr>
      </w:r>
      <w:r w:rsidRPr="00CB3FDD">
        <w:rPr>
          <w:sz w:val="22"/>
          <w:lang w:eastAsia="de-CH"/>
        </w:rPr>
        <w:fldChar w:fldCharType="separate"/>
      </w:r>
      <w:r w:rsidR="00663FF0">
        <w:rPr>
          <w:sz w:val="22"/>
          <w:lang w:eastAsia="de-CH"/>
        </w:rPr>
        <w:t>4.2</w:t>
      </w:r>
      <w:r w:rsidRPr="00CB3FDD">
        <w:rPr>
          <w:sz w:val="22"/>
          <w:lang w:eastAsia="de-CH"/>
        </w:rPr>
        <w:fldChar w:fldCharType="end"/>
      </w:r>
      <w:r w:rsidRPr="00CB3FDD">
        <w:rPr>
          <w:sz w:val="22"/>
          <w:lang w:eastAsia="de-CH"/>
        </w:rPr>
        <w:t xml:space="preserve">), ist die Gefahr gross, dass sich im Alltag der betroffenen Menschen mit Behinderungen kaum etwas ändern wird. </w:t>
      </w:r>
    </w:p>
    <w:p w14:paraId="3B467655" w14:textId="138FE3A3" w:rsidR="00CB3FDD" w:rsidRPr="00CB3FDD" w:rsidRDefault="00CB3FDD" w:rsidP="00CB3FDD">
      <w:pPr>
        <w:pStyle w:val="Textkrper"/>
        <w:rPr>
          <w:sz w:val="22"/>
        </w:rPr>
      </w:pPr>
      <w:r w:rsidRPr="00CB3FDD">
        <w:rPr>
          <w:sz w:val="22"/>
          <w:lang w:eastAsia="de-CH"/>
        </w:rPr>
        <w:t xml:space="preserve">Hinzu kommt das Fehlen griffiger </w:t>
      </w:r>
      <w:r w:rsidRPr="00CB3FDD">
        <w:rPr>
          <w:b/>
          <w:sz w:val="22"/>
          <w:lang w:eastAsia="de-CH"/>
        </w:rPr>
        <w:t>objektivrechtlicher Verpflichtungen</w:t>
      </w:r>
      <w:r w:rsidRPr="00CB3FDD">
        <w:rPr>
          <w:sz w:val="22"/>
          <w:lang w:eastAsia="de-CH"/>
        </w:rPr>
        <w:t xml:space="preserve">, wie dies bereits unter Ziff. </w:t>
      </w:r>
      <w:r w:rsidRPr="00CB3FDD">
        <w:rPr>
          <w:sz w:val="22"/>
          <w:lang w:eastAsia="de-CH"/>
        </w:rPr>
        <w:fldChar w:fldCharType="begin"/>
      </w:r>
      <w:r w:rsidRPr="00CB3FDD">
        <w:rPr>
          <w:sz w:val="22"/>
          <w:lang w:eastAsia="de-CH"/>
        </w:rPr>
        <w:instrText xml:space="preserve"> REF _Ref161590234 \r \h  \* MERGEFORMAT </w:instrText>
      </w:r>
      <w:r w:rsidRPr="00CB3FDD">
        <w:rPr>
          <w:sz w:val="22"/>
          <w:lang w:eastAsia="de-CH"/>
        </w:rPr>
      </w:r>
      <w:r w:rsidRPr="00CB3FDD">
        <w:rPr>
          <w:sz w:val="22"/>
          <w:lang w:eastAsia="de-CH"/>
        </w:rPr>
        <w:fldChar w:fldCharType="separate"/>
      </w:r>
      <w:r w:rsidR="00663FF0">
        <w:rPr>
          <w:sz w:val="22"/>
          <w:lang w:eastAsia="de-CH"/>
        </w:rPr>
        <w:t>4.1</w:t>
      </w:r>
      <w:r w:rsidRPr="00CB3FDD">
        <w:rPr>
          <w:sz w:val="22"/>
          <w:lang w:eastAsia="de-CH"/>
        </w:rPr>
        <w:fldChar w:fldCharType="end"/>
      </w:r>
      <w:r w:rsidRPr="00CB3FDD">
        <w:rPr>
          <w:sz w:val="22"/>
          <w:lang w:eastAsia="de-CH"/>
        </w:rPr>
        <w:t xml:space="preserve"> allgemein dargelegt wurde. Im</w:t>
      </w:r>
      <w:r w:rsidRPr="00CB3FDD">
        <w:rPr>
          <w:b/>
          <w:sz w:val="22"/>
        </w:rPr>
        <w:t xml:space="preserve"> VE-BehiG fehlen insbesondere Massnahmen, die zum Ziel haben, den Arbeitsmarkt für Menschen mit Behinderungen insgesamt zugänglicher zu gestalten</w:t>
      </w:r>
      <w:r w:rsidRPr="00CB3FDD">
        <w:rPr>
          <w:sz w:val="22"/>
        </w:rPr>
        <w:t xml:space="preserve">. Die vorgeschlagenen Anpassungen von Art. 13 Abs. 1 und 1bis sind kosmetischer Art. Was konkret muss der Bund als Arbeitgeber tun, um für die Chancengleichheit von Menschen mit Behinderungen zu sorgen? Woran misst man, ob er dieses Ziel erreicht hat? Wer kontrolliert das? Welche Ressourcen stehen hierzu zur Verfügung? Und wie sieht es mit Bezug auf die privatrechtlichen Arbeitsverhältnisse sowie auf diejenigen von Bund und Kantonen aus? </w:t>
      </w:r>
    </w:p>
    <w:p w14:paraId="19367CC7" w14:textId="77777777" w:rsidR="00CB3FDD" w:rsidRPr="00CB3FDD" w:rsidRDefault="00CB3FDD" w:rsidP="00CB3FDD">
      <w:pPr>
        <w:pStyle w:val="Textkrper"/>
        <w:rPr>
          <w:sz w:val="22"/>
        </w:rPr>
      </w:pPr>
      <w:r w:rsidRPr="00CB3FDD">
        <w:rPr>
          <w:sz w:val="22"/>
        </w:rPr>
        <w:t>Wie wird sichergestellt, dass Menschen mit Behinderungen, die etwa auf eine persönliche Assistenz, Gebärdendolmetschung, Übersetzung in Schriftsprache oder Leichte Sprache angewiesen sind, um einer Arbeit nachzugehen, eine solche beanspruchen können? Dieses Problem wird das Instrument der angemessenen Vorkehrungen im Einzelfall nicht lösen können: spätestens bei der Prüfung der Verhältnismässigkeit wird ein Gericht in aller Regel zum Schluss kommen, dass die Assistenz nicht gewährleistet werden kann. Hier muss mit der BehiG-Revision zwingend auch eine Anpassung des IVG getätigt werden.</w:t>
      </w:r>
    </w:p>
    <w:p w14:paraId="5A5D8AA6" w14:textId="77777777" w:rsidR="00CB3FDD" w:rsidRDefault="00CB3FDD" w:rsidP="00CB3FDD">
      <w:pPr>
        <w:pStyle w:val="Textkrper"/>
        <w:rPr>
          <w:sz w:val="22"/>
          <w:lang w:eastAsia="de-CH"/>
        </w:rPr>
      </w:pPr>
      <w:r w:rsidRPr="00CB3FDD">
        <w:rPr>
          <w:sz w:val="22"/>
        </w:rPr>
        <w:t xml:space="preserve">Über den Vorschlag von Art. 13 VE-BehiG hinausgehend braucht es eine klare und grundsätzliche Verpflichtung des Bundes, </w:t>
      </w:r>
      <w:r w:rsidRPr="00CB3FDD">
        <w:rPr>
          <w:sz w:val="22"/>
          <w:lang w:eastAsia="de-CH"/>
        </w:rPr>
        <w:t>alle gesetzgeberischen Massnahmen zu ergreifen, die geeignet sind, um Menschen mit Behinderungen den gleichberechtigten Zugang zu einer angemessen entlöhnten Erwerbstätigkeit auf dem regulären Arbeitsmarkt zu gewährleisten, einschliesslich der erforderlichen Unterstützungs- und Anpassungsmassnahmen. Darüber hinaus müsste der Bund unter anderem auch verpflichtet werden, zusammen mit den Kantonen Mehrjahrespläne zu erstellen, um die angemessen entlöhnte Erwerbstätigkeit auf dem regulären Arbeitsmarkt von Menschen mit Behinderungen, die derzeit erwerbslos oder in einer Institution gemäss Art. 3 Abs. 1 lit a oder c IFEG tätig sind, sukzessive zu erhöhen. Geeignete Massnahmen dafür sind Zielvorgaben, Förderprogramme, Mittelumschichtungen, Lohnkostenzuschüsse an Arbeitgebende und weitere Anreize, einschliesslich Massnahmen, die speziell auf die Erhöhung der Erwerbstätigkeit von Frauen mit Behinderungen abzielen.</w:t>
      </w:r>
    </w:p>
    <w:p w14:paraId="212C5F12" w14:textId="5DCF68B1" w:rsidR="00C70327" w:rsidRPr="00CB3FDD" w:rsidRDefault="00C70327" w:rsidP="00CB3FDD">
      <w:pPr>
        <w:pStyle w:val="Textkrper"/>
        <w:rPr>
          <w:sz w:val="22"/>
        </w:rPr>
      </w:pPr>
      <w:r w:rsidRPr="00646F09">
        <w:rPr>
          <w:sz w:val="22"/>
        </w:rPr>
        <w:t>Schliesslich wurde auch die Chance verpasst, Anreize für Arbeitnehmer und private Arbeitgeber zu setzen, wenn Arbeitsverhältnisse im 1. Arbeitsmarkt abgeschlossen werden. Effiziente Methoden wie mögliche Steuererleichterungen oder Pauschalabzüge</w:t>
      </w:r>
      <w:r w:rsidR="00646F09" w:rsidRPr="00646F09">
        <w:rPr>
          <w:sz w:val="22"/>
        </w:rPr>
        <w:t xml:space="preserve"> wurden nicht in betracht gezogen.</w:t>
      </w:r>
    </w:p>
    <w:p w14:paraId="519CF086" w14:textId="77777777" w:rsidR="00CB3FDD" w:rsidRPr="00CB3FDD" w:rsidRDefault="00CB3FDD" w:rsidP="00CB3FDD">
      <w:pPr>
        <w:pStyle w:val="berschrift2"/>
        <w:numPr>
          <w:ilvl w:val="1"/>
          <w:numId w:val="38"/>
        </w:numPr>
        <w:tabs>
          <w:tab w:val="num" w:pos="568"/>
        </w:tabs>
        <w:ind w:left="568" w:hanging="284"/>
        <w:rPr>
          <w:sz w:val="22"/>
          <w:szCs w:val="22"/>
        </w:rPr>
      </w:pPr>
      <w:bookmarkStart w:id="51" w:name="_Ref161723049"/>
      <w:bookmarkStart w:id="52" w:name="_Ref161736570"/>
      <w:bookmarkStart w:id="53" w:name="_Toc161749151"/>
      <w:r w:rsidRPr="00CB3FDD">
        <w:rPr>
          <w:sz w:val="22"/>
          <w:szCs w:val="22"/>
        </w:rPr>
        <w:t>Dienstleistungen (Art. 6 und 8 VE-BehiG)</w:t>
      </w:r>
      <w:bookmarkEnd w:id="51"/>
      <w:bookmarkEnd w:id="52"/>
      <w:bookmarkEnd w:id="53"/>
    </w:p>
    <w:p w14:paraId="0CC425F1" w14:textId="68932AC2" w:rsidR="00CB3FDD" w:rsidRPr="00CB3FDD" w:rsidRDefault="00CB3FDD" w:rsidP="00CB3FDD">
      <w:pPr>
        <w:pStyle w:val="Textkrper"/>
        <w:rPr>
          <w:sz w:val="22"/>
        </w:rPr>
      </w:pPr>
      <w:r w:rsidRPr="00CB3FDD">
        <w:rPr>
          <w:sz w:val="22"/>
        </w:rPr>
        <w:t xml:space="preserve">Durch die Revision soll der Schutz von Menschen mit Behinderungen bei der Inanspruchnahme öffentlich zugänglicher Dienstleistungen gestärkt werden. Das ist dringend nötig (siehe Ziff. </w:t>
      </w:r>
      <w:r w:rsidRPr="00CB3FDD">
        <w:rPr>
          <w:sz w:val="22"/>
        </w:rPr>
        <w:fldChar w:fldCharType="begin"/>
      </w:r>
      <w:r w:rsidRPr="00CB3FDD">
        <w:rPr>
          <w:sz w:val="22"/>
        </w:rPr>
        <w:instrText xml:space="preserve"> REF _Ref161724814 \r \h  \* MERGEFORMAT </w:instrText>
      </w:r>
      <w:r w:rsidRPr="00CB3FDD">
        <w:rPr>
          <w:sz w:val="22"/>
        </w:rPr>
      </w:r>
      <w:r w:rsidRPr="00CB3FDD">
        <w:rPr>
          <w:sz w:val="22"/>
        </w:rPr>
        <w:fldChar w:fldCharType="separate"/>
      </w:r>
      <w:r w:rsidR="00663FF0">
        <w:rPr>
          <w:sz w:val="22"/>
        </w:rPr>
        <w:t>2</w:t>
      </w:r>
      <w:r w:rsidRPr="00CB3FDD">
        <w:rPr>
          <w:sz w:val="22"/>
        </w:rPr>
        <w:fldChar w:fldCharType="end"/>
      </w:r>
      <w:r w:rsidRPr="00CB3FDD">
        <w:rPr>
          <w:sz w:val="22"/>
        </w:rPr>
        <w:t xml:space="preserve">), weshalb das Ziel von </w:t>
      </w:r>
      <w:r w:rsidR="00E93B6D">
        <w:rPr>
          <w:sz w:val="22"/>
        </w:rPr>
        <w:t>Pro Infirmis</w:t>
      </w:r>
      <w:r w:rsidRPr="00CB3FDD">
        <w:rPr>
          <w:sz w:val="22"/>
        </w:rPr>
        <w:t xml:space="preserve"> unterstützt wird. Die geltende Regelung führt nämlich dazu, dass Menschen mit einer Körperbehinderung, mit einer Hör- oder Sehbehinderung, Menschen mit einer geistigen oder psychischen Behinderung nach wie vor in sämtlichen Lebensbereichen mit Diskriminierungen konfrontiert sind. Und zwar meistens nicht deshalb, weil man sie </w:t>
      </w:r>
      <w:r w:rsidRPr="00CB3FDD">
        <w:rPr>
          <w:sz w:val="22"/>
        </w:rPr>
        <w:lastRenderedPageBreak/>
        <w:t xml:space="preserve">absichtlich, bösartig ausgrenzen will. Der Grund liegt vielmehr oft darin, dass bei der Konzeption und dem Anbieten einer Dienstleistung vergessen wird, dass es Behinderungen gibt. Oder es besteht Unkenntnis darüber, welche Voraussetzungen erfüllt sein müssen, damit eine Dienstleistung von Menschen mit Behinderungen in Anspruch genommen werden kann. Wieso jedoch die vorgeschlagene Regelung das Ziel eines besseren Schutzes von Menschen mit Behinderungen bei der Inanspruchnahme öffentlich zugänglicher Dienstleistungen voraussichtlich verfehlen wird, wurde unter Ziff. </w:t>
      </w:r>
      <w:r w:rsidRPr="00CB3FDD">
        <w:rPr>
          <w:sz w:val="22"/>
        </w:rPr>
        <w:fldChar w:fldCharType="begin"/>
      </w:r>
      <w:r w:rsidRPr="00CB3FDD">
        <w:rPr>
          <w:sz w:val="22"/>
        </w:rPr>
        <w:instrText xml:space="preserve"> REF _Ref161560698 \r \h  \* MERGEFORMAT </w:instrText>
      </w:r>
      <w:r w:rsidRPr="00CB3FDD">
        <w:rPr>
          <w:sz w:val="22"/>
        </w:rPr>
      </w:r>
      <w:r w:rsidRPr="00CB3FDD">
        <w:rPr>
          <w:sz w:val="22"/>
        </w:rPr>
        <w:fldChar w:fldCharType="separate"/>
      </w:r>
      <w:r w:rsidR="00663FF0">
        <w:rPr>
          <w:sz w:val="22"/>
        </w:rPr>
        <w:t>4.2</w:t>
      </w:r>
      <w:r w:rsidRPr="00CB3FDD">
        <w:rPr>
          <w:sz w:val="22"/>
        </w:rPr>
        <w:fldChar w:fldCharType="end"/>
      </w:r>
      <w:r w:rsidRPr="00CB3FDD">
        <w:rPr>
          <w:sz w:val="22"/>
        </w:rPr>
        <w:t xml:space="preserve"> bereits erläutert. </w:t>
      </w:r>
    </w:p>
    <w:p w14:paraId="5BF0392F" w14:textId="4B903816" w:rsidR="00CB3FDD" w:rsidRPr="00CB3FDD" w:rsidRDefault="00CB3FDD" w:rsidP="00CB3FDD">
      <w:pPr>
        <w:pStyle w:val="Textkrper"/>
        <w:rPr>
          <w:sz w:val="22"/>
        </w:rPr>
      </w:pPr>
      <w:r w:rsidRPr="00CB3FDD">
        <w:rPr>
          <w:sz w:val="22"/>
        </w:rPr>
        <w:t xml:space="preserve">Hinzukommt, dass der Schutz vor Diskriminierung als Korrektiv im Einzelfall nicht reicht, um das Ziel einer gleichberechtigten und autonomen Teilhabe von Menschen mit Behinderungen am gesellschaftlichen Leben zu gewährleisten (dazu allgemein Ziff. </w:t>
      </w:r>
      <w:r w:rsidRPr="00CB3FDD">
        <w:rPr>
          <w:sz w:val="22"/>
        </w:rPr>
        <w:fldChar w:fldCharType="begin"/>
      </w:r>
      <w:r w:rsidRPr="00CB3FDD">
        <w:rPr>
          <w:sz w:val="22"/>
        </w:rPr>
        <w:instrText xml:space="preserve"> REF _Ref161590234 \r \h  \* MERGEFORMAT </w:instrText>
      </w:r>
      <w:r w:rsidRPr="00CB3FDD">
        <w:rPr>
          <w:sz w:val="22"/>
        </w:rPr>
      </w:r>
      <w:r w:rsidRPr="00CB3FDD">
        <w:rPr>
          <w:sz w:val="22"/>
        </w:rPr>
        <w:fldChar w:fldCharType="separate"/>
      </w:r>
      <w:r w:rsidR="00663FF0">
        <w:rPr>
          <w:sz w:val="22"/>
        </w:rPr>
        <w:t>4.1</w:t>
      </w:r>
      <w:r w:rsidRPr="00CB3FDD">
        <w:rPr>
          <w:sz w:val="22"/>
        </w:rPr>
        <w:fldChar w:fldCharType="end"/>
      </w:r>
      <w:r w:rsidRPr="00CB3FDD">
        <w:rPr>
          <w:sz w:val="22"/>
        </w:rPr>
        <w:t xml:space="preserve">). Zwar wird gemäss Art. 14 VE-BehiG die Pflicht des Bundes im Bereich der Zugänglichkeit und Kommunikation im Vergleich zur bestehenden Bestimmung konkretisiert, was zu begrüssen ist. Es werden aber die objektiv- und subjektivrechtlichen Dimensionen dieser Verpflichtung nicht klar auseinandergehalten (Abs. 1-3). Zudem fehlen konkrete Zielvorgaben und Kontrollinstrumente. </w:t>
      </w:r>
    </w:p>
    <w:p w14:paraId="29CEA77A" w14:textId="77777777" w:rsidR="00CB3FDD" w:rsidRPr="00CB3FDD" w:rsidRDefault="00CB3FDD" w:rsidP="00CB3FDD">
      <w:pPr>
        <w:pStyle w:val="Textkrper"/>
        <w:rPr>
          <w:sz w:val="22"/>
        </w:rPr>
      </w:pPr>
      <w:r w:rsidRPr="00CB3FDD">
        <w:rPr>
          <w:sz w:val="22"/>
        </w:rPr>
        <w:t xml:space="preserve">Um sicherzustellen, dass Menschen mit Behinderungen öffentlich-zugängliche Dienstleistungen gleichberechtigt und autonom in Anspruch nehmen können, müsste im BehiG die </w:t>
      </w:r>
      <w:r w:rsidRPr="00CB3FDD">
        <w:rPr>
          <w:b/>
          <w:sz w:val="22"/>
        </w:rPr>
        <w:t>objektivrechtliche Verpflichtung</w:t>
      </w:r>
      <w:r w:rsidRPr="00CB3FDD">
        <w:rPr>
          <w:sz w:val="22"/>
        </w:rPr>
        <w:t xml:space="preserve"> </w:t>
      </w:r>
      <w:r w:rsidRPr="00CB3FDD">
        <w:rPr>
          <w:b/>
          <w:sz w:val="22"/>
        </w:rPr>
        <w:t>auch von Privaten</w:t>
      </w:r>
      <w:r w:rsidRPr="00CB3FDD">
        <w:rPr>
          <w:sz w:val="22"/>
        </w:rPr>
        <w:t xml:space="preserve"> verankert werden, die erforderlichen baulichen, technischen und persönlichen Massnahmen zu ergreifen, damit ihre Leistungen und ihre Kommunikation für Menschen mit Behinderungen zugänglich werden.</w:t>
      </w:r>
    </w:p>
    <w:p w14:paraId="77FBC045" w14:textId="77777777" w:rsidR="00CB3FDD" w:rsidRPr="00CB3FDD" w:rsidRDefault="00CB3FDD" w:rsidP="00CB3FDD">
      <w:pPr>
        <w:pStyle w:val="berschrift2"/>
        <w:numPr>
          <w:ilvl w:val="1"/>
          <w:numId w:val="38"/>
        </w:numPr>
        <w:tabs>
          <w:tab w:val="num" w:pos="568"/>
        </w:tabs>
        <w:ind w:left="568" w:hanging="284"/>
        <w:rPr>
          <w:sz w:val="22"/>
          <w:szCs w:val="22"/>
        </w:rPr>
      </w:pPr>
      <w:bookmarkStart w:id="54" w:name="_Toc161510798"/>
      <w:bookmarkStart w:id="55" w:name="_Ref161557952"/>
      <w:bookmarkStart w:id="56" w:name="_Ref161573192"/>
      <w:bookmarkStart w:id="57" w:name="_Toc161749152"/>
      <w:r w:rsidRPr="00CB3FDD">
        <w:rPr>
          <w:sz w:val="22"/>
          <w:szCs w:val="22"/>
        </w:rPr>
        <w:t>Der Vorschlag zum Verbandsbeschwerderecht</w:t>
      </w:r>
      <w:bookmarkEnd w:id="54"/>
      <w:bookmarkEnd w:id="55"/>
      <w:r w:rsidRPr="00CB3FDD">
        <w:rPr>
          <w:sz w:val="22"/>
          <w:szCs w:val="22"/>
        </w:rPr>
        <w:t xml:space="preserve"> (Art. 9 VE-BehiG)</w:t>
      </w:r>
      <w:bookmarkEnd w:id="56"/>
      <w:bookmarkEnd w:id="57"/>
    </w:p>
    <w:p w14:paraId="100C05D0" w14:textId="77777777" w:rsidR="00CB3FDD" w:rsidRPr="00CB3FDD" w:rsidRDefault="00CB3FDD" w:rsidP="00CB3FDD">
      <w:pPr>
        <w:pStyle w:val="Textkrper"/>
        <w:rPr>
          <w:sz w:val="22"/>
        </w:rPr>
      </w:pPr>
      <w:r w:rsidRPr="00CB3FDD">
        <w:rPr>
          <w:sz w:val="22"/>
        </w:rPr>
        <w:t>Die vorgeschlagene Formulierung von Art. 9 BehiG ist in mehrfacher Hinsicht zurückzuweisen und bedarf dringend einer Anpassung. Der Vorschlag würde das Verbandsbeschwerde- und Klagerecht (nachfolgend vereinfachend «Verbandsbeschwerderecht») der Behindertenorganisation im Ergebnis weitgehend einschränken und die Ausübung nahezu sämtlicher nach geltendem Recht vorgesehenen «Beschwerderechte» (Art. 9 Abs. 3 BehiG) verunmöglichen. Es droht, dass ein bewährtes und unabdingbares Kontrollinstrument der BehiG-Umsetzung entfällt.</w:t>
      </w:r>
    </w:p>
    <w:p w14:paraId="3847C206" w14:textId="77777777" w:rsidR="00CB3FDD" w:rsidRPr="00CB3FDD" w:rsidRDefault="00CB3FDD" w:rsidP="00CB3FDD">
      <w:pPr>
        <w:pStyle w:val="berschrift3"/>
        <w:rPr>
          <w:szCs w:val="22"/>
        </w:rPr>
      </w:pPr>
      <w:bookmarkStart w:id="58" w:name="_Toc161510799"/>
      <w:bookmarkStart w:id="59" w:name="_Toc161749153"/>
      <w:r w:rsidRPr="00CB3FDD">
        <w:rPr>
          <w:szCs w:val="22"/>
        </w:rPr>
        <w:t>4.5.1</w:t>
      </w:r>
      <w:r w:rsidRPr="00CB3FDD">
        <w:rPr>
          <w:szCs w:val="22"/>
        </w:rPr>
        <w:tab/>
        <w:t>Absatz 1</w:t>
      </w:r>
      <w:bookmarkEnd w:id="58"/>
      <w:bookmarkEnd w:id="59"/>
    </w:p>
    <w:p w14:paraId="33EB2244" w14:textId="77777777" w:rsidR="00CB3FDD" w:rsidRPr="00CB3FDD" w:rsidRDefault="00CB3FDD" w:rsidP="00CB3FDD">
      <w:pPr>
        <w:pStyle w:val="Textkrper"/>
        <w:rPr>
          <w:sz w:val="22"/>
        </w:rPr>
      </w:pPr>
      <w:r w:rsidRPr="00CB3FDD">
        <w:rPr>
          <w:sz w:val="22"/>
        </w:rPr>
        <w:t xml:space="preserve">Zunächst ist die folgende Formulierung in Abs. 1 zu begrüssen: «Vereine und andere Organisationen, die nach ihren Statuten zur Wahrung der Interessen von Menschen mit Behinderungen befugt sind, können in eigenem Namen». Die Kriterien der gesamtschweizerischen Bedeutung der Organisation, des zehnjährigen Bestehens der Organisation sowie der grossen Zahl (potentiell) Betroffener der beanstandeten Benachteiligung werden aufgehoben. Diese Formulierung kann zu einer Stärkung des Verbandsbeschwerderechts beitragen. Zu bemerken ist, dass es in der deutschsprachigen im Gegensatz zur französischsprachigen Fassung eine Ergänzung für andere Organisationsformen, die nicht über vereinsrechtliche «Statuten» verfügen, fehlt. </w:t>
      </w:r>
    </w:p>
    <w:p w14:paraId="5E8E6C7C" w14:textId="77777777" w:rsidR="00CB3FDD" w:rsidRPr="00CB3FDD" w:rsidRDefault="00CB3FDD" w:rsidP="00CB3FDD">
      <w:pPr>
        <w:pStyle w:val="Textkrper"/>
        <w:rPr>
          <w:sz w:val="22"/>
        </w:rPr>
      </w:pPr>
      <w:r w:rsidRPr="00CB3FDD">
        <w:rPr>
          <w:sz w:val="22"/>
        </w:rPr>
        <w:t xml:space="preserve">Unbedingt zu verwerfen ist hingegen die folgende Formulierung in Abs. 1: «auf Verletzung der Persönlichkeit von Angehörigen dieser Personengruppen klagen». Es ist nicht nachvollziehbar, weshalb sich das Verbandsbeschwerderecht auf Persönlichkeitsverletzungen beschränken sollte. Die in Art. 9 Abs. 3 BehiG verankerten «Beschwerderechte» betreffen in aller Regel keine Persönlichkeitsverletzungen: So könnten Behindertenorganisationen sogar bei offenkundiger Verletzung technischer Vorschriften kaum mehr Beschwerde erheben. Beispielsweise verletzt die bauliche Umsetzung einer Bushaltestelle, die nicht den Normen für Barrierefreiheit entspricht, nicht die Persönlichkeit einer Person im Rollstuhl oder einer Person mit einer Seh- oder Hörbehinderung. Auch betreffend Dienstleistungen Privater sowie </w:t>
      </w:r>
      <w:r w:rsidRPr="00CB3FDD">
        <w:rPr>
          <w:sz w:val="22"/>
        </w:rPr>
        <w:lastRenderedPageBreak/>
        <w:t>Arbeitsverhältnissen bedeutet die Beschränkung auf Persönlichkeitsverletzungen, dass die Klagelegitimation bei einer Vielzahl von Diskriminierungen entfällt, weil die zivilrechtliche Persönlichkeitsverletzung enger gefasst ist als der Diskriminierungsbegriff. Auch die laufende Revision der Zivilprozessordnung betreffend die Verbandsklage gemäss Art. 89 ZPO verfolgt das Ziel, das Verbandsklagerecht nicht mehr auf Persönlichkeitsverletzungen zu begrenzen. Die Verbandsklage gemäss Art. 89 ZPO hat in der Praxis aufgrund dieser Begrenzung keine praktische Bedeutung erlangt. Die Revision des BehiG will sich gemäss dem erläuternden Bericht zwar am Revisionsentwurf der ZPO orientieren,</w:t>
      </w:r>
      <w:r w:rsidRPr="00CB3FDD">
        <w:rPr>
          <w:sz w:val="22"/>
          <w:vertAlign w:val="superscript"/>
        </w:rPr>
        <w:footnoteReference w:id="37"/>
      </w:r>
      <w:r w:rsidRPr="00CB3FDD">
        <w:rPr>
          <w:sz w:val="22"/>
        </w:rPr>
        <w:t xml:space="preserve"> reduziert aber entgegen dessen Zielrichtung das Verbandsbeschwerderecht auf Konstellationen, in denen die Persönlichkeit von Menschen mit Behinderungen verletzt wird. Darüber hinaus ist die Formulierung «klagen» in Abs. 1 zu eng gefasst: Die «Beschwerderechte» gemäss Art. 9 Abs. 3 lit. b-d sind keine zivilrechtlichen Klagerechte.</w:t>
      </w:r>
    </w:p>
    <w:p w14:paraId="18E4AC76"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rPr>
      </w:pPr>
      <w:r w:rsidRPr="00CB3FDD">
        <w:rPr>
          <w:b/>
          <w:sz w:val="22"/>
        </w:rPr>
        <w:t>Anpassungsvorschläge</w:t>
      </w:r>
    </w:p>
    <w:p w14:paraId="17B8F56C"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xml:space="preserve">In der deutschsprachigen Fassung: </w:t>
      </w:r>
    </w:p>
    <w:p w14:paraId="2DABFFCF"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«Vereine und andere Organisationen, die nach ihren Statuten (Art. 89 Abs. 1 lit. c ZPO neu: «oder Satzungen») zur Wahrung der Interessen von Menschen mit Behinderungen befugt sind, können im eigenen Namen Rechtsansprüche im Sinne dieses Gesetzes geltend machen.»</w:t>
      </w:r>
    </w:p>
    <w:p w14:paraId="3A817E4B"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rPr>
      </w:pPr>
      <w:r w:rsidRPr="00CB3FDD">
        <w:rPr>
          <w:sz w:val="22"/>
        </w:rPr>
        <w:t xml:space="preserve">In der französischsprachigen Fassung: </w:t>
      </w:r>
    </w:p>
    <w:p w14:paraId="14D6D1C6" w14:textId="58D31A44"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val="fr-CH"/>
        </w:rPr>
      </w:pPr>
      <w:r w:rsidRPr="00CB3FDD">
        <w:rPr>
          <w:sz w:val="22"/>
        </w:rPr>
        <w:t xml:space="preserve">Der Begriff «atteinte» ist zu ersetzen, der missverständlich als Anlehnung an Art. 28 ZGB ausgelegt werden könnte. </w:t>
      </w:r>
      <w:r w:rsidR="00E93B6D">
        <w:rPr>
          <w:sz w:val="22"/>
          <w:lang w:val="fr-CH"/>
        </w:rPr>
        <w:t>Pro Infirmis</w:t>
      </w:r>
      <w:r w:rsidRPr="00CB3FDD">
        <w:rPr>
          <w:sz w:val="22"/>
          <w:lang w:val="fr-CH"/>
        </w:rPr>
        <w:t xml:space="preserve"> schlägt folgende Formulierung vor:</w:t>
      </w:r>
    </w:p>
    <w:p w14:paraId="103A5A32"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val="fr-CH"/>
        </w:rPr>
      </w:pPr>
      <w:r w:rsidRPr="00CB3FDD">
        <w:rPr>
          <w:sz w:val="22"/>
          <w:lang w:val="fr-CH"/>
        </w:rPr>
        <w:t>«Les associations et les autres organisations qui sont habilitées aux termes de leurs statuts ou de leur acte constitutif à défendre les intérêts des personnes handicapée peuvent, en leur propre nom, faire valoir les droits subjectifs selon la présente loi.»</w:t>
      </w:r>
    </w:p>
    <w:p w14:paraId="29A2EBA9" w14:textId="77777777" w:rsidR="00CB3FDD" w:rsidRPr="00CB3FDD" w:rsidRDefault="00CB3FDD" w:rsidP="00CB3FDD">
      <w:pPr>
        <w:pStyle w:val="berschrift3"/>
        <w:rPr>
          <w:szCs w:val="22"/>
        </w:rPr>
      </w:pPr>
      <w:bookmarkStart w:id="60" w:name="_Toc161510800"/>
      <w:bookmarkStart w:id="61" w:name="_Toc161749154"/>
      <w:r w:rsidRPr="00CB3FDD">
        <w:rPr>
          <w:szCs w:val="22"/>
        </w:rPr>
        <w:t>4.5.2</w:t>
      </w:r>
      <w:r w:rsidRPr="00CB3FDD">
        <w:rPr>
          <w:szCs w:val="22"/>
        </w:rPr>
        <w:tab/>
      </w:r>
      <w:bookmarkEnd w:id="60"/>
      <w:r w:rsidRPr="00CB3FDD">
        <w:rPr>
          <w:szCs w:val="22"/>
        </w:rPr>
        <w:t>Absatz 2</w:t>
      </w:r>
      <w:bookmarkEnd w:id="61"/>
    </w:p>
    <w:p w14:paraId="19455381" w14:textId="2F189DEC" w:rsidR="00CB3FDD" w:rsidRPr="00CB3FDD" w:rsidRDefault="00CB3FDD" w:rsidP="00CB3FDD">
      <w:pPr>
        <w:pStyle w:val="Textkrper"/>
        <w:rPr>
          <w:sz w:val="22"/>
        </w:rPr>
      </w:pPr>
      <w:r w:rsidRPr="00CB3FDD">
        <w:rPr>
          <w:sz w:val="22"/>
        </w:rPr>
        <w:t xml:space="preserve">Die deutschsprachige Fassung von Art. 9 Abs. 2 verwendet wiederum den zu engen Begriff der «Klage». Hier ist der Begriff der Beschwerde zu ergänzen. </w:t>
      </w:r>
    </w:p>
    <w:p w14:paraId="13A12826"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rPr>
      </w:pPr>
      <w:r w:rsidRPr="00CB3FDD">
        <w:rPr>
          <w:b/>
          <w:sz w:val="22"/>
        </w:rPr>
        <w:t>Anpassungsvorschlag</w:t>
      </w:r>
    </w:p>
    <w:p w14:paraId="288DFAB2"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rFonts w:eastAsiaTheme="majorEastAsia" w:cstheme="majorBidi"/>
          <w:bCs/>
          <w:i/>
          <w:sz w:val="22"/>
          <w:lang w:eastAsia="de-CH"/>
        </w:rPr>
      </w:pPr>
      <w:r w:rsidRPr="00CB3FDD">
        <w:rPr>
          <w:sz w:val="22"/>
        </w:rPr>
        <w:t xml:space="preserve">«Der Bundesrat bezeichnet die zur </w:t>
      </w:r>
      <w:r w:rsidRPr="00CB3FDD">
        <w:rPr>
          <w:rFonts w:eastAsiaTheme="majorEastAsia" w:cstheme="majorBidi"/>
          <w:bCs/>
          <w:i/>
          <w:sz w:val="22"/>
          <w:lang w:eastAsia="de-CH"/>
        </w:rPr>
        <w:t>Klage und Beschwerde berechtigten Vereine und anderen Organisationen.»</w:t>
      </w:r>
    </w:p>
    <w:p w14:paraId="69D73DAD" w14:textId="77777777" w:rsidR="00CB3FDD" w:rsidRPr="00CB3FDD" w:rsidRDefault="00CB3FDD" w:rsidP="00CB3FDD">
      <w:pPr>
        <w:pStyle w:val="berschrift3"/>
        <w:rPr>
          <w:bCs/>
          <w:i/>
          <w:szCs w:val="22"/>
          <w:lang w:eastAsia="de-CH"/>
        </w:rPr>
      </w:pPr>
      <w:bookmarkStart w:id="62" w:name="_Toc161510801"/>
      <w:bookmarkStart w:id="63" w:name="_Toc161749155"/>
      <w:r w:rsidRPr="00CB3FDD">
        <w:rPr>
          <w:szCs w:val="22"/>
        </w:rPr>
        <w:t>4.5.3</w:t>
      </w:r>
      <w:r w:rsidRPr="00CB3FDD">
        <w:rPr>
          <w:szCs w:val="22"/>
        </w:rPr>
        <w:tab/>
      </w:r>
      <w:bookmarkEnd w:id="62"/>
      <w:r w:rsidRPr="00CB3FDD">
        <w:rPr>
          <w:szCs w:val="22"/>
        </w:rPr>
        <w:t>Absatz 3</w:t>
      </w:r>
      <w:bookmarkEnd w:id="63"/>
    </w:p>
    <w:p w14:paraId="01660CD7" w14:textId="5CC553EE" w:rsidR="00CB3FDD" w:rsidRPr="00CB3FDD" w:rsidRDefault="00CB3FDD" w:rsidP="00CB3FDD">
      <w:pPr>
        <w:pStyle w:val="Textkrper"/>
        <w:rPr>
          <w:sz w:val="22"/>
        </w:rPr>
      </w:pPr>
      <w:r w:rsidRPr="00CB3FDD">
        <w:rPr>
          <w:sz w:val="22"/>
        </w:rPr>
        <w:t xml:space="preserve">Die Zielrichtung der Anpassung von Art. 9 Abs. 3 ist zu begrüssen. Insbesondere befürwortet </w:t>
      </w:r>
      <w:r w:rsidR="00E93B6D">
        <w:rPr>
          <w:sz w:val="22"/>
        </w:rPr>
        <w:t>Pro Infirmis</w:t>
      </w:r>
      <w:r w:rsidRPr="00CB3FDD">
        <w:rPr>
          <w:sz w:val="22"/>
        </w:rPr>
        <w:t xml:space="preserve"> die grundsätzliche Ermöglichung der reparatorischen Verbandsklage. Diesbezüglich erscheint es aufgrund der Komplexität der im Rahmen der noch hängigen ZPO-Revision diskutierten Regelung auch sinnvoll, auf die ZPO zu verweisen. Die deutschsprachige Fassung von Art. 9 Abs. 3 BehiG ist aufgrund des angepassten Einleitungssatzes allerdings noch redaktionell anzupassen: Lit. b-c müssten jeweils mit dem Passus «ein Beschwerderecht» eingeleitet werden.</w:t>
      </w:r>
    </w:p>
    <w:p w14:paraId="4307324D" w14:textId="77777777" w:rsidR="00CB3FDD" w:rsidRPr="00CB3FDD" w:rsidRDefault="00CB3FDD" w:rsidP="00CB3FDD">
      <w:pPr>
        <w:pStyle w:val="berschrift1"/>
        <w:numPr>
          <w:ilvl w:val="0"/>
          <w:numId w:val="38"/>
        </w:numPr>
        <w:tabs>
          <w:tab w:val="num" w:pos="284"/>
        </w:tabs>
        <w:ind w:left="284" w:hanging="284"/>
        <w:rPr>
          <w:sz w:val="22"/>
          <w:szCs w:val="22"/>
        </w:rPr>
      </w:pPr>
      <w:bookmarkStart w:id="64" w:name="_Ref161560711"/>
      <w:bookmarkStart w:id="65" w:name="_Toc161749156"/>
      <w:bookmarkStart w:id="66" w:name="_Toc161510803"/>
      <w:bookmarkStart w:id="67" w:name="_Ref161558971"/>
      <w:r w:rsidRPr="00CB3FDD">
        <w:rPr>
          <w:sz w:val="22"/>
          <w:szCs w:val="22"/>
        </w:rPr>
        <w:t>Anerkennung und Förderung der Gebärdensprachen (Abschnitt 3a VE-BehiG)</w:t>
      </w:r>
      <w:bookmarkEnd w:id="64"/>
      <w:bookmarkEnd w:id="65"/>
    </w:p>
    <w:p w14:paraId="06219589" w14:textId="25AD0ACC" w:rsidR="00CB3FDD" w:rsidRPr="00CB3FDD" w:rsidRDefault="00CB3FDD" w:rsidP="00CB3FDD">
      <w:pPr>
        <w:pStyle w:val="Textkrper"/>
        <w:rPr>
          <w:sz w:val="22"/>
        </w:rPr>
      </w:pPr>
      <w:r w:rsidRPr="00CB3FDD">
        <w:rPr>
          <w:sz w:val="22"/>
        </w:rPr>
        <w:t xml:space="preserve">Mit der Teilrevision BehiG will der Bundesrat auch einem Auftrag des Parlaments nachkommen und die Gebärdensprache sowie die mit ihr verbundene Kultur gesetzlich fördern. Die Gebärdensprachen werden vom Bund im VE-BehiG </w:t>
      </w:r>
      <w:r w:rsidRPr="00CB3FDD">
        <w:rPr>
          <w:b/>
          <w:sz w:val="22"/>
        </w:rPr>
        <w:t>symbolisch anerkannt</w:t>
      </w:r>
      <w:r w:rsidRPr="00CB3FDD">
        <w:rPr>
          <w:sz w:val="22"/>
        </w:rPr>
        <w:t xml:space="preserve">. Es sind </w:t>
      </w:r>
      <w:r w:rsidRPr="00CB3FDD">
        <w:rPr>
          <w:b/>
          <w:sz w:val="22"/>
        </w:rPr>
        <w:t xml:space="preserve">keine </w:t>
      </w:r>
      <w:r w:rsidRPr="00CB3FDD">
        <w:rPr>
          <w:b/>
          <w:sz w:val="22"/>
        </w:rPr>
        <w:lastRenderedPageBreak/>
        <w:t>konkreten und verbindlichen Sprachfördermassnahmen vorgesehen</w:t>
      </w:r>
      <w:r w:rsidRPr="00CB3FDD">
        <w:rPr>
          <w:sz w:val="22"/>
        </w:rPr>
        <w:t xml:space="preserve">, welche das </w:t>
      </w:r>
      <w:r w:rsidRPr="00CB3FDD">
        <w:rPr>
          <w:b/>
          <w:sz w:val="22"/>
        </w:rPr>
        <w:t>Erlernen</w:t>
      </w:r>
      <w:r w:rsidRPr="00CB3FDD">
        <w:rPr>
          <w:sz w:val="22"/>
        </w:rPr>
        <w:t xml:space="preserve">, </w:t>
      </w:r>
      <w:r w:rsidRPr="00CB3FDD">
        <w:rPr>
          <w:b/>
          <w:sz w:val="22"/>
        </w:rPr>
        <w:t>Erleben</w:t>
      </w:r>
      <w:r w:rsidRPr="00CB3FDD">
        <w:rPr>
          <w:sz w:val="22"/>
        </w:rPr>
        <w:t xml:space="preserve"> und </w:t>
      </w:r>
      <w:r w:rsidRPr="00CB3FDD">
        <w:rPr>
          <w:b/>
          <w:sz w:val="22"/>
        </w:rPr>
        <w:t>Weiterentwickeln</w:t>
      </w:r>
      <w:r w:rsidRPr="00CB3FDD">
        <w:rPr>
          <w:sz w:val="22"/>
        </w:rPr>
        <w:t xml:space="preserve"> der Gebärdensprachen als Sprachen einer sprachlich-kulturellen Minderheit unterstützen. </w:t>
      </w:r>
      <w:r w:rsidR="00E93B6D">
        <w:rPr>
          <w:sz w:val="22"/>
        </w:rPr>
        <w:t>Pro Infirmis</w:t>
      </w:r>
      <w:r w:rsidRPr="00CB3FDD">
        <w:rPr>
          <w:sz w:val="22"/>
        </w:rPr>
        <w:t xml:space="preserve"> verweist auf die Stellungnahme des Schweizerischen Gehörlosenbundes. </w:t>
      </w:r>
    </w:p>
    <w:p w14:paraId="51725461" w14:textId="77777777" w:rsidR="00CB3FDD" w:rsidRPr="00CB3FDD" w:rsidRDefault="00CB3FDD" w:rsidP="00CB3FDD">
      <w:pPr>
        <w:pStyle w:val="berschrift1"/>
        <w:numPr>
          <w:ilvl w:val="0"/>
          <w:numId w:val="38"/>
        </w:numPr>
        <w:tabs>
          <w:tab w:val="num" w:pos="284"/>
        </w:tabs>
        <w:ind w:left="284" w:hanging="284"/>
        <w:rPr>
          <w:sz w:val="22"/>
          <w:szCs w:val="22"/>
        </w:rPr>
      </w:pPr>
      <w:bookmarkStart w:id="68" w:name="_Ref161565935"/>
      <w:bookmarkStart w:id="69" w:name="_Toc161749157"/>
      <w:r w:rsidRPr="00CB3FDD">
        <w:rPr>
          <w:sz w:val="22"/>
          <w:szCs w:val="22"/>
        </w:rPr>
        <w:t>Stärkung der Institutionen und Organisationen</w:t>
      </w:r>
      <w:bookmarkEnd w:id="66"/>
      <w:bookmarkEnd w:id="67"/>
      <w:bookmarkEnd w:id="68"/>
      <w:bookmarkEnd w:id="69"/>
    </w:p>
    <w:p w14:paraId="2A1BDC24" w14:textId="77777777" w:rsidR="00CB3FDD" w:rsidRPr="00CB3FDD" w:rsidRDefault="00CB3FDD" w:rsidP="00CB3FDD">
      <w:pPr>
        <w:pStyle w:val="berschrift2"/>
        <w:numPr>
          <w:ilvl w:val="1"/>
          <w:numId w:val="38"/>
        </w:numPr>
        <w:tabs>
          <w:tab w:val="num" w:pos="568"/>
        </w:tabs>
        <w:ind w:left="568" w:hanging="284"/>
        <w:rPr>
          <w:sz w:val="22"/>
          <w:szCs w:val="22"/>
        </w:rPr>
      </w:pPr>
      <w:bookmarkStart w:id="70" w:name="_Toc161510804"/>
      <w:bookmarkStart w:id="71" w:name="_Ref161560779"/>
      <w:bookmarkStart w:id="72" w:name="_Ref161565753"/>
      <w:bookmarkStart w:id="73" w:name="_Ref161731469"/>
      <w:bookmarkStart w:id="74" w:name="_Toc161749158"/>
      <w:r w:rsidRPr="00CB3FDD">
        <w:rPr>
          <w:sz w:val="22"/>
          <w:szCs w:val="22"/>
        </w:rPr>
        <w:t>Einbezug der Behindertenorganisationen</w:t>
      </w:r>
      <w:bookmarkEnd w:id="70"/>
      <w:bookmarkEnd w:id="71"/>
      <w:bookmarkEnd w:id="72"/>
      <w:bookmarkEnd w:id="73"/>
      <w:bookmarkEnd w:id="74"/>
    </w:p>
    <w:p w14:paraId="09D90ED3" w14:textId="77777777" w:rsidR="00CB3FDD" w:rsidRPr="00CB3FDD" w:rsidRDefault="00CB3FDD" w:rsidP="00CB3FDD">
      <w:pPr>
        <w:pStyle w:val="Textkrper"/>
        <w:rPr>
          <w:sz w:val="22"/>
        </w:rPr>
      </w:pPr>
      <w:r w:rsidRPr="00CB3FDD">
        <w:rPr>
          <w:sz w:val="22"/>
        </w:rPr>
        <w:t xml:space="preserve">Gemäss Art. 4 Abs. 3 BRK ist die Schweiz verpflichtet, bei der </w:t>
      </w:r>
      <w:r w:rsidRPr="00CB3FDD">
        <w:rPr>
          <w:b/>
          <w:sz w:val="22"/>
        </w:rPr>
        <w:t>Ausarbeitung von Rechtsvorschriften</w:t>
      </w:r>
      <w:r w:rsidRPr="00CB3FDD">
        <w:rPr>
          <w:sz w:val="22"/>
        </w:rPr>
        <w:t xml:space="preserve"> in Fragen, die </w:t>
      </w:r>
      <w:r w:rsidRPr="00CB3FDD">
        <w:rPr>
          <w:b/>
          <w:sz w:val="22"/>
        </w:rPr>
        <w:t>Menschen mit Behinderungen betreffen</w:t>
      </w:r>
      <w:r w:rsidRPr="00CB3FDD">
        <w:rPr>
          <w:sz w:val="22"/>
        </w:rPr>
        <w:t xml:space="preserve">, mit den </w:t>
      </w:r>
      <w:r w:rsidRPr="00CB3FDD">
        <w:rPr>
          <w:b/>
          <w:sz w:val="22"/>
        </w:rPr>
        <w:t>Menschen mit Behinderungen</w:t>
      </w:r>
      <w:r w:rsidRPr="00CB3FDD">
        <w:rPr>
          <w:sz w:val="22"/>
        </w:rPr>
        <w:t xml:space="preserve"> über </w:t>
      </w:r>
      <w:r w:rsidRPr="00CB3FDD">
        <w:rPr>
          <w:b/>
          <w:sz w:val="22"/>
        </w:rPr>
        <w:t>die sie vertretenden Organisationen</w:t>
      </w:r>
      <w:r w:rsidRPr="00CB3FDD">
        <w:rPr>
          <w:sz w:val="22"/>
        </w:rPr>
        <w:t xml:space="preserve"> </w:t>
      </w:r>
      <w:r w:rsidRPr="00CB3FDD">
        <w:rPr>
          <w:b/>
          <w:sz w:val="22"/>
        </w:rPr>
        <w:t>enge Konsultationen</w:t>
      </w:r>
      <w:r w:rsidRPr="00CB3FDD">
        <w:rPr>
          <w:sz w:val="22"/>
        </w:rPr>
        <w:t xml:space="preserve"> zu führen und sie </w:t>
      </w:r>
      <w:r w:rsidRPr="00CB3FDD">
        <w:rPr>
          <w:b/>
          <w:sz w:val="22"/>
        </w:rPr>
        <w:t>aktiv einzubeziehen</w:t>
      </w:r>
      <w:r w:rsidRPr="00CB3FDD">
        <w:rPr>
          <w:sz w:val="22"/>
        </w:rPr>
        <w:t>. Dabei ist ein möglichst früher Einbezug zentral, so dass die Expertise, Anregungen und Rückmeldungen der Menschen mit Behinderungen auch tatsächlich einfliessen und etwas bewirken können.</w:t>
      </w:r>
      <w:bookmarkStart w:id="75" w:name="_Ref161593051"/>
      <w:r w:rsidRPr="00CB3FDD">
        <w:rPr>
          <w:rStyle w:val="Funotenzeichen"/>
          <w:sz w:val="22"/>
          <w:lang w:eastAsia="de-CH"/>
        </w:rPr>
        <w:footnoteReference w:id="38"/>
      </w:r>
      <w:bookmarkEnd w:id="75"/>
      <w:r w:rsidRPr="00CB3FDD">
        <w:rPr>
          <w:sz w:val="22"/>
        </w:rPr>
        <w:t xml:space="preserve"> Die Durchführung eines Vernehmlassungsverfahrens erfüllt – entgegen der Ansicht des Bundes</w:t>
      </w:r>
      <w:r w:rsidRPr="00CB3FDD">
        <w:rPr>
          <w:rStyle w:val="Funotenzeichen"/>
          <w:sz w:val="22"/>
          <w:lang w:eastAsia="de-CH"/>
        </w:rPr>
        <w:footnoteReference w:id="39"/>
      </w:r>
      <w:r w:rsidRPr="00CB3FDD">
        <w:rPr>
          <w:sz w:val="22"/>
        </w:rPr>
        <w:t xml:space="preserve"> – diese Verpflichtung aus der BRK nicht. Zwar ist das </w:t>
      </w:r>
      <w:r w:rsidRPr="00CB3FDD">
        <w:rPr>
          <w:b/>
          <w:sz w:val="22"/>
        </w:rPr>
        <w:t>Vernehmlassungsverfahren</w:t>
      </w:r>
      <w:r w:rsidRPr="00CB3FDD">
        <w:rPr>
          <w:sz w:val="22"/>
        </w:rPr>
        <w:t xml:space="preserve"> ein bewährtes Instrument des Einbezuges der Zivilgesellschaft in der Schweiz. Es erfolgt jedoch zu einem Zeitpunkt, in dem das Gesetzgebungsprojekt konzeptionell bereits so weit fortgeschritten ist (ohne Berücksichtigung der Anliegen der Menschen mit Behinderungen), dass </w:t>
      </w:r>
      <w:r w:rsidRPr="00CB3FDD">
        <w:rPr>
          <w:b/>
          <w:sz w:val="22"/>
        </w:rPr>
        <w:t>grundlegende Anpassungen nicht ohne wesentliche Verzögerungen vorgenommen werden können</w:t>
      </w:r>
      <w:r w:rsidRPr="00CB3FDD">
        <w:rPr>
          <w:sz w:val="22"/>
        </w:rPr>
        <w:t>.</w:t>
      </w:r>
      <w:r w:rsidRPr="00CB3FDD">
        <w:rPr>
          <w:rStyle w:val="Funotenzeichen"/>
          <w:sz w:val="22"/>
          <w:lang w:eastAsia="de-CH"/>
        </w:rPr>
        <w:footnoteReference w:id="40"/>
      </w:r>
      <w:r w:rsidRPr="00CB3FDD">
        <w:rPr>
          <w:sz w:val="22"/>
        </w:rPr>
        <w:t xml:space="preserve"> Zu diesem Zeitpunkt ist die Möglichkeit also bereits vertan, die Bedürfnisse und spezifische Expertise von Menschen mit Behinderungen schon in den Vorentwurf einfliessen zu lassen. Entsprechend </w:t>
      </w:r>
      <w:r w:rsidRPr="00CB3FDD">
        <w:rPr>
          <w:b/>
          <w:sz w:val="22"/>
        </w:rPr>
        <w:t>kritisierte</w:t>
      </w:r>
      <w:r w:rsidRPr="00CB3FDD">
        <w:rPr>
          <w:sz w:val="22"/>
        </w:rPr>
        <w:t xml:space="preserve"> auch der </w:t>
      </w:r>
      <w:r w:rsidRPr="00CB3FDD">
        <w:rPr>
          <w:b/>
          <w:sz w:val="22"/>
        </w:rPr>
        <w:t>UNO-Ausschuss</w:t>
      </w:r>
      <w:r w:rsidRPr="00CB3FDD">
        <w:rPr>
          <w:sz w:val="22"/>
        </w:rPr>
        <w:t xml:space="preserve"> bei seiner Überprüfung der Schweiz im Jahr 2022 den </w:t>
      </w:r>
      <w:r w:rsidRPr="00CB3FDD">
        <w:rPr>
          <w:b/>
          <w:sz w:val="22"/>
        </w:rPr>
        <w:t>mangelnden Einbezug</w:t>
      </w:r>
      <w:r w:rsidRPr="00CB3FDD">
        <w:rPr>
          <w:sz w:val="22"/>
        </w:rPr>
        <w:t xml:space="preserve"> von Menschen mit Behinderungen über die sie vertretenden Organisationen, unter anderem in die Entscheidungsprozesse in Bezug auf Gesetze. Er </w:t>
      </w:r>
      <w:r w:rsidRPr="00CB3FDD">
        <w:rPr>
          <w:b/>
          <w:sz w:val="22"/>
        </w:rPr>
        <w:t>empfahl</w:t>
      </w:r>
      <w:r w:rsidRPr="00CB3FDD">
        <w:rPr>
          <w:sz w:val="22"/>
        </w:rPr>
        <w:t xml:space="preserve">, die Mechanismen zu stärken, um eine </w:t>
      </w:r>
      <w:r w:rsidRPr="00CB3FDD">
        <w:rPr>
          <w:b/>
          <w:sz w:val="22"/>
        </w:rPr>
        <w:t>wirksame Konsultation</w:t>
      </w:r>
      <w:r w:rsidRPr="00CB3FDD">
        <w:rPr>
          <w:sz w:val="22"/>
        </w:rPr>
        <w:t xml:space="preserve"> unter anderem bei der Ausgestaltung von Rechtsvorschriften sicherzustellen.</w:t>
      </w:r>
      <w:r w:rsidRPr="00CB3FDD">
        <w:rPr>
          <w:rStyle w:val="Funotenzeichen"/>
          <w:sz w:val="22"/>
          <w:lang w:eastAsia="de-CH"/>
        </w:rPr>
        <w:footnoteReference w:id="41"/>
      </w:r>
      <w:r w:rsidRPr="00CB3FDD">
        <w:rPr>
          <w:sz w:val="22"/>
        </w:rPr>
        <w:t xml:space="preserve"> Dies umfasst, die Behindertenorganisationen systematisch und offen zu kontaktieren, sie zu konsultieren und sie in sinnvoller Weise rechtzeitig einzubeziehen.</w:t>
      </w:r>
      <w:r w:rsidRPr="00CB3FDD">
        <w:rPr>
          <w:rStyle w:val="Funotenzeichen"/>
          <w:sz w:val="22"/>
          <w:lang w:eastAsia="de-CH"/>
        </w:rPr>
        <w:footnoteReference w:id="42"/>
      </w:r>
      <w:r w:rsidRPr="00CB3FDD">
        <w:rPr>
          <w:sz w:val="22"/>
        </w:rPr>
        <w:t xml:space="preserve"> </w:t>
      </w:r>
    </w:p>
    <w:p w14:paraId="671A5B8A" w14:textId="77777777" w:rsidR="00CB3FDD" w:rsidRPr="00CB3FDD" w:rsidRDefault="00CB3FDD" w:rsidP="00CB3FDD">
      <w:pPr>
        <w:pStyle w:val="Textkrper"/>
        <w:rPr>
          <w:sz w:val="22"/>
        </w:rPr>
      </w:pPr>
      <w:r w:rsidRPr="00CB3FDD">
        <w:rPr>
          <w:sz w:val="22"/>
        </w:rPr>
        <w:t xml:space="preserve">Entgegen seiner Verpflichtung aus der BRK und trotz der Kritik des UNO-Ausschusses hat </w:t>
      </w:r>
      <w:r w:rsidRPr="00CB3FDD">
        <w:rPr>
          <w:b/>
          <w:sz w:val="22"/>
        </w:rPr>
        <w:t>der Bund</w:t>
      </w:r>
      <w:r w:rsidRPr="00CB3FDD">
        <w:rPr>
          <w:sz w:val="22"/>
        </w:rPr>
        <w:t xml:space="preserve"> bei der Ausarbeitung des vorliegenden VE-BehiG mit den Menschen mit Behinderungen und den sie vertretenden Organisationen weder enge Konsultationen geführt noch einen aktiven Einbezug gewährleistet. Die Behindertenorganisationen wurden vor dem Vernehmlassungsverfahren lediglich in Bezug auf die Regulierungsfolgenabschätzung (Wirkung der Teilrevision)</w:t>
      </w:r>
      <w:r w:rsidRPr="00CB3FDD">
        <w:rPr>
          <w:rStyle w:val="Funotenzeichen"/>
          <w:sz w:val="22"/>
          <w:lang w:eastAsia="de-CH"/>
        </w:rPr>
        <w:footnoteReference w:id="43"/>
      </w:r>
      <w:r w:rsidRPr="00CB3FDD">
        <w:rPr>
          <w:sz w:val="22"/>
        </w:rPr>
        <w:t xml:space="preserve"> befragt. Zum Vorentwurf selber (z.B. Umfang und Inhalt der Teilrevision, Gehalt und Formulierung der einzelnen Bestimmungen) fanden </w:t>
      </w:r>
      <w:r w:rsidRPr="00CB3FDD">
        <w:rPr>
          <w:b/>
          <w:sz w:val="22"/>
        </w:rPr>
        <w:t>keine Konsultationen und kein Einbezug statt</w:t>
      </w:r>
      <w:r w:rsidRPr="00CB3FDD">
        <w:rPr>
          <w:sz w:val="22"/>
        </w:rPr>
        <w:t xml:space="preserve">. </w:t>
      </w:r>
    </w:p>
    <w:p w14:paraId="7936A162" w14:textId="77777777" w:rsidR="00CB3FDD" w:rsidRPr="00CB3FDD" w:rsidRDefault="00CB3FDD" w:rsidP="00CB3FDD">
      <w:pPr>
        <w:pStyle w:val="Textkrper"/>
        <w:rPr>
          <w:sz w:val="22"/>
        </w:rPr>
      </w:pPr>
      <w:r w:rsidRPr="00CB3FDD">
        <w:rPr>
          <w:sz w:val="22"/>
        </w:rPr>
        <w:lastRenderedPageBreak/>
        <w:t xml:space="preserve">Dabei gibt es in der Schweiz bereits Erfahrung und einige gute Beispiele, wie enge Konsultationen und ein aktiver Einbezug bei der Ausarbeitung eines Vorentwurfs – und damit bereits vor der Durchführung des Vernehmlassungsverfahrens – hätten ausgestaltet und durchgeführt werden können. Die </w:t>
      </w:r>
      <w:r w:rsidRPr="00CB3FDD">
        <w:rPr>
          <w:b/>
          <w:sz w:val="22"/>
        </w:rPr>
        <w:t>Kantone Basel-Stadt, Basel-Landschaft und Wallis</w:t>
      </w:r>
      <w:r w:rsidRPr="00CB3FDD">
        <w:rPr>
          <w:sz w:val="22"/>
        </w:rPr>
        <w:t xml:space="preserve"> haben bei der Ausarbeitung ihrer kantonalen Behindertengleichstellungsgesetze bereits zu einem frühen Zeitpunkt </w:t>
      </w:r>
      <w:r w:rsidRPr="00CB3FDD">
        <w:rPr>
          <w:b/>
          <w:sz w:val="22"/>
        </w:rPr>
        <w:t>runde Tische mit Menschen mit Behinderungen und ihren Organisationen</w:t>
      </w:r>
      <w:r w:rsidRPr="00CB3FDD">
        <w:rPr>
          <w:sz w:val="22"/>
        </w:rPr>
        <w:t xml:space="preserve"> durchgeführt. Der </w:t>
      </w:r>
      <w:r w:rsidRPr="00CB3FDD">
        <w:rPr>
          <w:b/>
          <w:sz w:val="22"/>
        </w:rPr>
        <w:t xml:space="preserve">Kanton Genf </w:t>
      </w:r>
      <w:r w:rsidRPr="00CB3FDD">
        <w:rPr>
          <w:sz w:val="22"/>
        </w:rPr>
        <w:t xml:space="preserve">hat sogar </w:t>
      </w:r>
      <w:r w:rsidRPr="00CB3FDD">
        <w:rPr>
          <w:b/>
          <w:sz w:val="22"/>
        </w:rPr>
        <w:t>mehr als 20 Ateliers zu den einzelnen Themen des kantonalen Behindertengleichstellungsrechtes</w:t>
      </w:r>
      <w:r w:rsidRPr="00CB3FDD">
        <w:rPr>
          <w:sz w:val="22"/>
        </w:rPr>
        <w:t xml:space="preserve"> mit Menschen mit Behinderungen und ihren Organisationen veranstaltet. Auf diese bestehende Erfahrung hätte man bei der Ausarbeitung des vorliegenden VE-BehiG zurückgreifen können. Insbesondere hätte man sich am Vorgehen dieser Kantone orientieren und sich mit ihnen diesbezüglich austauschen können. Diese Kantone haben gezeigt, dass enge Konsultationen und ein aktiver Miteinbezug bereits vor dem Vernehmlassungsverfahren nicht nur möglich sind, sondern auch </w:t>
      </w:r>
      <w:r w:rsidRPr="00CB3FDD">
        <w:rPr>
          <w:b/>
          <w:sz w:val="22"/>
        </w:rPr>
        <w:t>Expertise</w:t>
      </w:r>
      <w:r w:rsidRPr="00CB3FDD">
        <w:rPr>
          <w:sz w:val="22"/>
        </w:rPr>
        <w:t xml:space="preserve"> einbringen und dem Gesetz </w:t>
      </w:r>
      <w:r w:rsidRPr="00CB3FDD">
        <w:rPr>
          <w:b/>
          <w:sz w:val="22"/>
        </w:rPr>
        <w:t>Legitimität</w:t>
      </w:r>
      <w:r w:rsidRPr="00CB3FDD">
        <w:rPr>
          <w:sz w:val="22"/>
        </w:rPr>
        <w:t xml:space="preserve"> verleihen. </w:t>
      </w:r>
    </w:p>
    <w:p w14:paraId="3FDA2E27" w14:textId="77777777" w:rsidR="00CB3FDD" w:rsidRPr="00CB3FDD" w:rsidRDefault="00CB3FDD" w:rsidP="00CB3FDD">
      <w:pPr>
        <w:pStyle w:val="Textkrper"/>
        <w:rPr>
          <w:sz w:val="22"/>
        </w:rPr>
      </w:pPr>
      <w:r w:rsidRPr="00CB3FDD">
        <w:rPr>
          <w:sz w:val="22"/>
        </w:rPr>
        <w:t xml:space="preserve">Vor diesem Hintergrund ist </w:t>
      </w:r>
      <w:r w:rsidRPr="00CB3FDD">
        <w:rPr>
          <w:b/>
          <w:sz w:val="22"/>
        </w:rPr>
        <w:t>schlicht unverständlich, dass der Bund</w:t>
      </w:r>
      <w:r w:rsidRPr="00CB3FDD">
        <w:rPr>
          <w:sz w:val="22"/>
        </w:rPr>
        <w:t xml:space="preserve"> – im Gegensatz zu den erwähnten Kantonen – </w:t>
      </w:r>
      <w:r w:rsidRPr="00CB3FDD">
        <w:rPr>
          <w:b/>
          <w:sz w:val="22"/>
        </w:rPr>
        <w:t>seiner Verpflichtung aus der BRK</w:t>
      </w:r>
      <w:r w:rsidRPr="00CB3FDD">
        <w:rPr>
          <w:sz w:val="22"/>
        </w:rPr>
        <w:t xml:space="preserve"> bald 10 Jahre nach ihrem Inkrafttreten in der Schweiz und bald zwei Jahre nach der entsprechenden Kritik des UNO-Ausschusses immer noch </w:t>
      </w:r>
      <w:r w:rsidRPr="00CB3FDD">
        <w:rPr>
          <w:b/>
          <w:sz w:val="22"/>
        </w:rPr>
        <w:t>nicht nachkommt</w:t>
      </w:r>
      <w:r w:rsidRPr="00CB3FDD">
        <w:rPr>
          <w:sz w:val="22"/>
        </w:rPr>
        <w:t xml:space="preserve"> und </w:t>
      </w:r>
      <w:r w:rsidRPr="00CB3FDD">
        <w:rPr>
          <w:b/>
          <w:sz w:val="22"/>
        </w:rPr>
        <w:t>ohne jeglichen Einbezug von Menschen mit Behinderungen</w:t>
      </w:r>
      <w:r w:rsidRPr="00CB3FDD">
        <w:rPr>
          <w:sz w:val="22"/>
        </w:rPr>
        <w:t xml:space="preserve"> und entsprechend ohne Berücksichtigung ihrer Anliegen und Bedürfnisse das </w:t>
      </w:r>
      <w:r w:rsidRPr="00CB3FDD">
        <w:rPr>
          <w:b/>
          <w:sz w:val="22"/>
        </w:rPr>
        <w:t>für ihre Gleichstellung grundlegende Gesetz revidiert</w:t>
      </w:r>
      <w:r w:rsidRPr="00CB3FDD">
        <w:rPr>
          <w:sz w:val="22"/>
        </w:rPr>
        <w:t xml:space="preserve">. </w:t>
      </w:r>
    </w:p>
    <w:p w14:paraId="30296A42" w14:textId="77777777" w:rsidR="00CB3FDD" w:rsidRPr="00CB3FDD" w:rsidRDefault="00CB3FDD" w:rsidP="00CB3FDD">
      <w:pPr>
        <w:pBdr>
          <w:top w:val="single" w:sz="4" w:space="1" w:color="auto"/>
          <w:left w:val="single" w:sz="4" w:space="4" w:color="auto"/>
          <w:bottom w:val="single" w:sz="4" w:space="1" w:color="auto"/>
          <w:right w:val="single" w:sz="4" w:space="4" w:color="auto"/>
        </w:pBdr>
        <w:shd w:val="clear" w:color="auto" w:fill="FFFFFF" w:themeFill="background1"/>
        <w:spacing w:before="240"/>
        <w:rPr>
          <w:b/>
          <w:szCs w:val="22"/>
        </w:rPr>
      </w:pPr>
      <w:r w:rsidRPr="00CB3FDD">
        <w:rPr>
          <w:b/>
          <w:szCs w:val="22"/>
        </w:rPr>
        <w:t>Forderung</w:t>
      </w:r>
    </w:p>
    <w:p w14:paraId="3FDE2285" w14:textId="77777777" w:rsidR="00CB3FDD" w:rsidRPr="00CB3FDD" w:rsidRDefault="00CB3FDD" w:rsidP="00CB3FDD">
      <w:pPr>
        <w:pBdr>
          <w:top w:val="single" w:sz="4" w:space="1" w:color="auto"/>
          <w:left w:val="single" w:sz="4" w:space="4" w:color="auto"/>
          <w:bottom w:val="single" w:sz="4" w:space="1" w:color="auto"/>
          <w:right w:val="single" w:sz="4" w:space="4" w:color="auto"/>
        </w:pBdr>
        <w:shd w:val="clear" w:color="auto" w:fill="FFFFFF" w:themeFill="background1"/>
        <w:spacing w:before="240"/>
        <w:rPr>
          <w:szCs w:val="22"/>
        </w:rPr>
      </w:pPr>
      <w:r w:rsidRPr="00CB3FDD">
        <w:rPr>
          <w:szCs w:val="22"/>
        </w:rPr>
        <w:t>- Der VE-BehiG ist tiefgreifend zu überarbeiten, unter engem Beizug der Behindertenorganisationen. Hierzu ist die nötige Zeit zu investieren, unter Berücksichtigung der Inklusionsinitiative.</w:t>
      </w:r>
    </w:p>
    <w:p w14:paraId="47DF192A" w14:textId="6C4158DB" w:rsidR="00CB3FDD" w:rsidRPr="00CB3FDD" w:rsidRDefault="00CB3FDD" w:rsidP="00CB3FDD">
      <w:pPr>
        <w:pBdr>
          <w:top w:val="single" w:sz="4" w:space="1" w:color="auto"/>
          <w:left w:val="single" w:sz="4" w:space="4" w:color="auto"/>
          <w:bottom w:val="single" w:sz="4" w:space="1" w:color="auto"/>
          <w:right w:val="single" w:sz="4" w:space="4" w:color="auto"/>
        </w:pBdr>
        <w:shd w:val="clear" w:color="auto" w:fill="FFFFFF" w:themeFill="background1"/>
        <w:spacing w:before="240"/>
        <w:rPr>
          <w:szCs w:val="22"/>
        </w:rPr>
      </w:pPr>
      <w:r w:rsidRPr="00CB3FDD">
        <w:rPr>
          <w:szCs w:val="22"/>
        </w:rPr>
        <w:t xml:space="preserve">- Der Einbezug von Menschen mit Behinderungen ist in Art. 5a Abs. 2 VE BehiG konkreter und verbindlicher zu formulieren (dazu Ziff. </w:t>
      </w:r>
      <w:r w:rsidRPr="00CB3FDD">
        <w:rPr>
          <w:szCs w:val="22"/>
        </w:rPr>
        <w:fldChar w:fldCharType="begin"/>
      </w:r>
      <w:r w:rsidRPr="00CB3FDD">
        <w:rPr>
          <w:szCs w:val="22"/>
        </w:rPr>
        <w:instrText xml:space="preserve"> REF _Ref161600096 \r \h  \* MERGEFORMAT </w:instrText>
      </w:r>
      <w:r w:rsidRPr="00CB3FDD">
        <w:rPr>
          <w:szCs w:val="22"/>
        </w:rPr>
      </w:r>
      <w:r w:rsidRPr="00CB3FDD">
        <w:rPr>
          <w:szCs w:val="22"/>
        </w:rPr>
        <w:fldChar w:fldCharType="separate"/>
      </w:r>
      <w:r w:rsidR="00663FF0">
        <w:rPr>
          <w:szCs w:val="22"/>
        </w:rPr>
        <w:t>7</w:t>
      </w:r>
      <w:r w:rsidRPr="00CB3FDD">
        <w:rPr>
          <w:szCs w:val="22"/>
        </w:rPr>
        <w:fldChar w:fldCharType="end"/>
      </w:r>
      <w:r w:rsidRPr="00CB3FDD">
        <w:rPr>
          <w:szCs w:val="22"/>
        </w:rPr>
        <w:t xml:space="preserve"> zu Art. 5 Abs. 1bis).</w:t>
      </w:r>
    </w:p>
    <w:p w14:paraId="54D539B9" w14:textId="77777777" w:rsidR="00CB3FDD" w:rsidRPr="00CB3FDD" w:rsidRDefault="00CB3FDD" w:rsidP="00CB3FDD">
      <w:pPr>
        <w:pStyle w:val="berschrift2"/>
        <w:numPr>
          <w:ilvl w:val="1"/>
          <w:numId w:val="38"/>
        </w:numPr>
        <w:tabs>
          <w:tab w:val="num" w:pos="568"/>
        </w:tabs>
        <w:ind w:left="568" w:hanging="284"/>
        <w:rPr>
          <w:sz w:val="22"/>
          <w:szCs w:val="22"/>
        </w:rPr>
      </w:pPr>
      <w:bookmarkStart w:id="76" w:name="_Toc161510805"/>
      <w:bookmarkStart w:id="77" w:name="_Toc161749159"/>
      <w:r w:rsidRPr="00CB3FDD">
        <w:rPr>
          <w:sz w:val="22"/>
          <w:szCs w:val="22"/>
        </w:rPr>
        <w:t>Finanzierung der Behindertenorganisationen</w:t>
      </w:r>
      <w:bookmarkEnd w:id="76"/>
      <w:bookmarkEnd w:id="77"/>
    </w:p>
    <w:p w14:paraId="13144367" w14:textId="77777777" w:rsidR="00CB3FDD" w:rsidRPr="00CB3FDD" w:rsidRDefault="00CB3FDD" w:rsidP="00CB3FDD">
      <w:pPr>
        <w:pStyle w:val="berschrift3"/>
        <w:numPr>
          <w:ilvl w:val="2"/>
          <w:numId w:val="38"/>
        </w:numPr>
        <w:tabs>
          <w:tab w:val="num" w:pos="852"/>
        </w:tabs>
        <w:ind w:left="852" w:hanging="284"/>
        <w:rPr>
          <w:szCs w:val="22"/>
        </w:rPr>
      </w:pPr>
      <w:bookmarkStart w:id="78" w:name="_Toc161510806"/>
      <w:bookmarkStart w:id="79" w:name="_Toc161749160"/>
      <w:r w:rsidRPr="00CB3FDD">
        <w:rPr>
          <w:szCs w:val="22"/>
        </w:rPr>
        <w:t>Grundlage im Invalidenversicherungsrecht</w:t>
      </w:r>
      <w:bookmarkEnd w:id="78"/>
      <w:bookmarkEnd w:id="79"/>
    </w:p>
    <w:p w14:paraId="0B6A8E0E" w14:textId="77777777" w:rsidR="00CB3FDD" w:rsidRPr="00CB3FDD" w:rsidRDefault="00CB3FDD" w:rsidP="00CB3FDD">
      <w:pPr>
        <w:pStyle w:val="Textkrper"/>
        <w:rPr>
          <w:sz w:val="22"/>
          <w:lang w:eastAsia="de-CH"/>
        </w:rPr>
      </w:pPr>
      <w:r w:rsidRPr="00CB3FDD">
        <w:rPr>
          <w:sz w:val="22"/>
          <w:lang w:eastAsia="de-CH"/>
        </w:rPr>
        <w:t xml:space="preserve">Die finanzielle Unterstützung, welche der Bund den Behindertenorganisationen zukommen lässt, beruht heute beinahe </w:t>
      </w:r>
      <w:r w:rsidRPr="00CB3FDD">
        <w:rPr>
          <w:b/>
          <w:sz w:val="22"/>
          <w:lang w:eastAsia="de-CH"/>
        </w:rPr>
        <w:t>ausschliesslich auf der Grundlage von Art. 74 IVG</w:t>
      </w:r>
      <w:r w:rsidRPr="00CB3FDD">
        <w:rPr>
          <w:sz w:val="22"/>
          <w:lang w:eastAsia="de-CH"/>
        </w:rPr>
        <w:t xml:space="preserve">. Diese Regelung ist aus einer Zeit entstanden, in der Behinderung ausschliesslich aus einer medizinischen, individuellen Perspektive betrachtet wurde. Es ging entsprechend darum, durch die Finanzierung der Arbeit der Behindertenorganisationen den </w:t>
      </w:r>
      <w:r w:rsidRPr="00CB3FDD">
        <w:rPr>
          <w:b/>
          <w:sz w:val="22"/>
          <w:lang w:eastAsia="de-CH"/>
        </w:rPr>
        <w:t>«invaliden» Personen zu helfen</w:t>
      </w:r>
      <w:r w:rsidRPr="00CB3FDD">
        <w:rPr>
          <w:sz w:val="22"/>
          <w:lang w:eastAsia="de-CH"/>
        </w:rPr>
        <w:t xml:space="preserve">. So geht es nach dem Wortlaut von Art. 74 Abs. 1 IVG um die «Beratung und Betreuung Invalider» (lit. a), um die «Beratung der Angehörigen Invalider» (lit. b), die «Kurse zur Ertüchtigung Invalider» (lit. c) sowie um (neu seit 2020) «Leistungen zur Unterstützung und Förderung der Eingliederung Invalider» (lit. d). </w:t>
      </w:r>
    </w:p>
    <w:p w14:paraId="11D85514" w14:textId="77777777" w:rsidR="00CB3FDD" w:rsidRPr="00CB3FDD" w:rsidRDefault="00CB3FDD" w:rsidP="00CB3FDD">
      <w:pPr>
        <w:pStyle w:val="berschrift3"/>
        <w:numPr>
          <w:ilvl w:val="2"/>
          <w:numId w:val="38"/>
        </w:numPr>
        <w:tabs>
          <w:tab w:val="num" w:pos="852"/>
        </w:tabs>
        <w:ind w:left="852" w:hanging="284"/>
        <w:rPr>
          <w:szCs w:val="22"/>
          <w:lang w:eastAsia="de-CH"/>
        </w:rPr>
      </w:pPr>
      <w:bookmarkStart w:id="80" w:name="_Toc161510807"/>
      <w:bookmarkStart w:id="81" w:name="_Toc161749161"/>
      <w:r w:rsidRPr="00CB3FDD">
        <w:rPr>
          <w:szCs w:val="22"/>
        </w:rPr>
        <w:t>Entwicklung der Aufgaben der Behindertenorganisationen</w:t>
      </w:r>
      <w:bookmarkEnd w:id="80"/>
      <w:bookmarkEnd w:id="81"/>
    </w:p>
    <w:p w14:paraId="33449744" w14:textId="77777777" w:rsidR="00CB3FDD" w:rsidRPr="00CB3FDD" w:rsidRDefault="00CB3FDD" w:rsidP="00CB3FDD">
      <w:pPr>
        <w:pStyle w:val="Textkrper"/>
        <w:rPr>
          <w:sz w:val="22"/>
          <w:lang w:eastAsia="de-CH"/>
        </w:rPr>
      </w:pPr>
      <w:r w:rsidRPr="00CB3FDD">
        <w:rPr>
          <w:sz w:val="22"/>
          <w:lang w:eastAsia="de-CH"/>
        </w:rPr>
        <w:t xml:space="preserve">Bereits im Jahre </w:t>
      </w:r>
      <w:r w:rsidRPr="00CB3FDD">
        <w:rPr>
          <w:b/>
          <w:sz w:val="22"/>
          <w:lang w:eastAsia="de-CH"/>
        </w:rPr>
        <w:t>2000</w:t>
      </w:r>
      <w:r w:rsidRPr="00CB3FDD">
        <w:rPr>
          <w:sz w:val="22"/>
          <w:lang w:eastAsia="de-CH"/>
        </w:rPr>
        <w:t xml:space="preserve">, mit dem </w:t>
      </w:r>
      <w:r w:rsidRPr="00CB3FDD">
        <w:rPr>
          <w:b/>
          <w:sz w:val="22"/>
          <w:lang w:eastAsia="de-CH"/>
        </w:rPr>
        <w:t>Inkrafttreten der neuen Bundesverfassung</w:t>
      </w:r>
      <w:r w:rsidRPr="00CB3FDD">
        <w:rPr>
          <w:sz w:val="22"/>
          <w:lang w:eastAsia="de-CH"/>
        </w:rPr>
        <w:t xml:space="preserve">, erweiterte sich das Rechtsgebiet, in dem die Behindertenorganisationen tätig waren, beträchtlich: neu ging es neben der Gewährleistung der Existenzsicherung durch Massnahmen der Sozialversicherungen darum, </w:t>
      </w:r>
      <w:r w:rsidRPr="00CB3FDD">
        <w:rPr>
          <w:b/>
          <w:sz w:val="22"/>
          <w:lang w:eastAsia="de-CH"/>
        </w:rPr>
        <w:t>Menschen mit Behinderungen zu unterstützen und zu beraten, die mit Diskriminierungen im Sinne von Art. 8 Abs. 2 BV konfrontiert</w:t>
      </w:r>
      <w:r w:rsidRPr="00CB3FDD">
        <w:rPr>
          <w:sz w:val="22"/>
          <w:lang w:eastAsia="de-CH"/>
        </w:rPr>
        <w:t xml:space="preserve"> wurden. Als Folge des </w:t>
      </w:r>
      <w:r w:rsidRPr="00CB3FDD">
        <w:rPr>
          <w:sz w:val="22"/>
          <w:lang w:eastAsia="de-CH"/>
        </w:rPr>
        <w:lastRenderedPageBreak/>
        <w:t>Gesetzgebungsauftrages von Art. 8 Abs. 4 BV sind Massnahmen (in allen Lebensbereichen) zu ergreifen, um Benachteiligungen von Menschen mit Behinderungen zu beseitigen.</w:t>
      </w:r>
    </w:p>
    <w:p w14:paraId="696BCB9D" w14:textId="77777777" w:rsidR="00CB3FDD" w:rsidRPr="00CB3FDD" w:rsidRDefault="00CB3FDD" w:rsidP="00CB3FDD">
      <w:pPr>
        <w:pStyle w:val="Textkrper"/>
        <w:rPr>
          <w:sz w:val="22"/>
          <w:lang w:eastAsia="de-CH"/>
        </w:rPr>
      </w:pPr>
      <w:r w:rsidRPr="00CB3FDD">
        <w:rPr>
          <w:b/>
          <w:sz w:val="22"/>
          <w:lang w:eastAsia="de-CH"/>
        </w:rPr>
        <w:t>2004</w:t>
      </w:r>
      <w:r w:rsidRPr="00CB3FDD">
        <w:rPr>
          <w:sz w:val="22"/>
          <w:lang w:eastAsia="de-CH"/>
        </w:rPr>
        <w:t xml:space="preserve"> trat das </w:t>
      </w:r>
      <w:r w:rsidRPr="00CB3FDD">
        <w:rPr>
          <w:b/>
          <w:sz w:val="22"/>
          <w:lang w:eastAsia="de-CH"/>
        </w:rPr>
        <w:t>BehiG</w:t>
      </w:r>
      <w:r w:rsidRPr="00CB3FDD">
        <w:rPr>
          <w:sz w:val="22"/>
          <w:lang w:eastAsia="de-CH"/>
        </w:rPr>
        <w:t xml:space="preserve"> in Kraft. Als Querschnittsgesetz erfasst es </w:t>
      </w:r>
      <w:r w:rsidRPr="00CB3FDD">
        <w:rPr>
          <w:b/>
          <w:sz w:val="22"/>
          <w:lang w:eastAsia="de-CH"/>
        </w:rPr>
        <w:t>verschiedene Themen</w:t>
      </w:r>
      <w:r w:rsidRPr="00CB3FDD">
        <w:rPr>
          <w:sz w:val="22"/>
          <w:lang w:eastAsia="de-CH"/>
        </w:rPr>
        <w:t>, die in</w:t>
      </w:r>
      <w:r w:rsidRPr="00CB3FDD">
        <w:rPr>
          <w:b/>
          <w:sz w:val="22"/>
          <w:lang w:eastAsia="de-CH"/>
        </w:rPr>
        <w:t xml:space="preserve"> unterschiedlichen Rechtsgebieten</w:t>
      </w:r>
      <w:r w:rsidRPr="00CB3FDD">
        <w:rPr>
          <w:sz w:val="22"/>
          <w:lang w:eastAsia="de-CH"/>
        </w:rPr>
        <w:t xml:space="preserve"> verankert sind (insbesondere Baurecht, Verkehrsrecht, Privatrecht, Bildungsrecht). Entsprechend </w:t>
      </w:r>
      <w:r w:rsidRPr="00CB3FDD">
        <w:rPr>
          <w:b/>
          <w:sz w:val="22"/>
          <w:lang w:eastAsia="de-CH"/>
        </w:rPr>
        <w:t>vielfältig und zum grossen Teil noch unbeantwortet</w:t>
      </w:r>
      <w:r w:rsidRPr="00CB3FDD">
        <w:rPr>
          <w:sz w:val="22"/>
          <w:lang w:eastAsia="de-CH"/>
        </w:rPr>
        <w:t xml:space="preserve"> sind die </w:t>
      </w:r>
      <w:r w:rsidRPr="00CB3FDD">
        <w:rPr>
          <w:b/>
          <w:sz w:val="22"/>
          <w:lang w:eastAsia="de-CH"/>
        </w:rPr>
        <w:t>Fragen</w:t>
      </w:r>
      <w:r w:rsidRPr="00CB3FDD">
        <w:rPr>
          <w:sz w:val="22"/>
          <w:lang w:eastAsia="de-CH"/>
        </w:rPr>
        <w:t xml:space="preserve">, mit welchen Menschen mit Behinderungen und ihre Organisationen bei der Umsetzung dieses Gesetzes konfrontiert sind. Statt mehr Kontrollmechanismen innerhalb der Verwaltung vorzusehen, entschied sich der Gesetzgeber dafür, ein </w:t>
      </w:r>
      <w:r w:rsidRPr="00CB3FDD">
        <w:rPr>
          <w:b/>
          <w:sz w:val="22"/>
          <w:lang w:eastAsia="de-CH"/>
        </w:rPr>
        <w:t>Teil der Verantwortung für die BehiG-Umsetzung den Betroffenen selber, bzw. den Behindertenorganisationen zu übergeben</w:t>
      </w:r>
      <w:r w:rsidRPr="00CB3FDD">
        <w:rPr>
          <w:sz w:val="22"/>
          <w:lang w:eastAsia="de-CH"/>
        </w:rPr>
        <w:t>, mit der Gewährleistungen von subjektiven Rechten, bzw. dem Instrument des Verbandsbeschwerderechts</w:t>
      </w:r>
      <w:r w:rsidRPr="00CB3FDD">
        <w:rPr>
          <w:rStyle w:val="Funotenzeichen"/>
          <w:sz w:val="22"/>
          <w:lang w:eastAsia="de-CH"/>
        </w:rPr>
        <w:footnoteReference w:id="44"/>
      </w:r>
      <w:r w:rsidRPr="00CB3FDD">
        <w:rPr>
          <w:sz w:val="22"/>
          <w:lang w:eastAsia="de-CH"/>
        </w:rPr>
        <w:t xml:space="preserve">. </w:t>
      </w:r>
    </w:p>
    <w:p w14:paraId="676F43EA" w14:textId="77777777" w:rsidR="00CB3FDD" w:rsidRPr="00CB3FDD" w:rsidRDefault="00CB3FDD" w:rsidP="00CB3FDD">
      <w:pPr>
        <w:pStyle w:val="Textkrper"/>
        <w:rPr>
          <w:sz w:val="22"/>
          <w:lang w:eastAsia="de-CH"/>
        </w:rPr>
      </w:pPr>
      <w:r w:rsidRPr="00CB3FDD">
        <w:rPr>
          <w:sz w:val="22"/>
          <w:lang w:eastAsia="de-CH"/>
        </w:rPr>
        <w:t xml:space="preserve">Schliesslich ist </w:t>
      </w:r>
      <w:r w:rsidRPr="00CB3FDD">
        <w:rPr>
          <w:b/>
          <w:sz w:val="22"/>
          <w:lang w:eastAsia="de-CH"/>
        </w:rPr>
        <w:t>2014</w:t>
      </w:r>
      <w:r w:rsidRPr="00CB3FDD">
        <w:rPr>
          <w:sz w:val="22"/>
          <w:lang w:eastAsia="de-CH"/>
        </w:rPr>
        <w:t xml:space="preserve"> die </w:t>
      </w:r>
      <w:r w:rsidRPr="00CB3FDD">
        <w:rPr>
          <w:b/>
          <w:sz w:val="22"/>
          <w:lang w:eastAsia="de-CH"/>
        </w:rPr>
        <w:t>BRK</w:t>
      </w:r>
      <w:r w:rsidRPr="00CB3FDD">
        <w:rPr>
          <w:sz w:val="22"/>
          <w:lang w:eastAsia="de-CH"/>
        </w:rPr>
        <w:t xml:space="preserve"> für die Schweiz in Kraft getreten. Diese Konvention wirkt sich in </w:t>
      </w:r>
      <w:r w:rsidRPr="00CB3FDD">
        <w:rPr>
          <w:b/>
          <w:sz w:val="22"/>
          <w:lang w:eastAsia="de-CH"/>
        </w:rPr>
        <w:t>sämtlichen Lebensbereichen</w:t>
      </w:r>
      <w:r w:rsidRPr="00CB3FDD">
        <w:rPr>
          <w:sz w:val="22"/>
          <w:lang w:eastAsia="de-CH"/>
        </w:rPr>
        <w:t xml:space="preserve"> aus und auf </w:t>
      </w:r>
      <w:r w:rsidRPr="00CB3FDD">
        <w:rPr>
          <w:b/>
          <w:sz w:val="22"/>
          <w:lang w:eastAsia="de-CH"/>
        </w:rPr>
        <w:t>allen Ebenen des föderalen Staates</w:t>
      </w:r>
      <w:r w:rsidRPr="00CB3FDD">
        <w:rPr>
          <w:sz w:val="22"/>
          <w:lang w:eastAsia="de-CH"/>
        </w:rPr>
        <w:t xml:space="preserve">. Ihre Umsetzung setzt tiefgreifende Veränderungen in der Gesellschaft voraus. Auch hier galt es und gilt es immer noch für die Behindertenorganisationen, ihre </w:t>
      </w:r>
      <w:r w:rsidRPr="00CB3FDD">
        <w:rPr>
          <w:b/>
          <w:sz w:val="22"/>
          <w:lang w:eastAsia="de-CH"/>
        </w:rPr>
        <w:t>Expertise so aufzubauen und einzusetzen</w:t>
      </w:r>
      <w:r w:rsidRPr="00CB3FDD">
        <w:rPr>
          <w:sz w:val="22"/>
          <w:lang w:eastAsia="de-CH"/>
        </w:rPr>
        <w:t xml:space="preserve">, dass sie in der Lage sind, ihre </w:t>
      </w:r>
      <w:r w:rsidRPr="00CB3FDD">
        <w:rPr>
          <w:b/>
          <w:sz w:val="22"/>
          <w:lang w:eastAsia="de-CH"/>
        </w:rPr>
        <w:t>Verantwortung mit Bezug auf den Schutz der Rechte von Menschen mit Behinderungen</w:t>
      </w:r>
      <w:r w:rsidRPr="00CB3FDD">
        <w:rPr>
          <w:sz w:val="22"/>
          <w:lang w:eastAsia="de-CH"/>
        </w:rPr>
        <w:t xml:space="preserve"> in der Schweiz wahrzunehmen. Dabei geht es konkret etwa um die Rechtsberatung von Menschen mit Behinderungen. Aber auch um eine rechtliche sowie politische Begleit- und Kontrollfunktion bei der BRK-Umsetzung, wie etwa beim Staatenberichtsverfahren oder im Rahmen von Arbeitsgruppen des Bundes und der Kantone. Auch das </w:t>
      </w:r>
      <w:r w:rsidRPr="00CB3FDD">
        <w:rPr>
          <w:b/>
          <w:sz w:val="22"/>
          <w:lang w:eastAsia="de-CH"/>
        </w:rPr>
        <w:t>EU-Recht</w:t>
      </w:r>
      <w:r w:rsidRPr="00CB3FDD">
        <w:rPr>
          <w:sz w:val="22"/>
          <w:lang w:eastAsia="de-CH"/>
        </w:rPr>
        <w:t xml:space="preserve"> darf an dieser Stelle nicht unerwähnt bleiben: es wirkt sich auf die Rechte von Menschen mit Behinderungen aus (so zum Beispiel im Bereich des öffentlichen Verkehrs) und macht die BRK-Umsetzung in rechtlicher Hinsicht noch komplexer. </w:t>
      </w:r>
    </w:p>
    <w:p w14:paraId="328D47D8" w14:textId="77777777" w:rsidR="00CB3FDD" w:rsidRPr="00CB3FDD" w:rsidRDefault="00CB3FDD" w:rsidP="00CB3FDD">
      <w:pPr>
        <w:pStyle w:val="Textkrper"/>
        <w:rPr>
          <w:sz w:val="22"/>
          <w:lang w:eastAsia="de-CH"/>
        </w:rPr>
      </w:pPr>
      <w:r w:rsidRPr="00CB3FDD">
        <w:rPr>
          <w:sz w:val="22"/>
          <w:lang w:eastAsia="de-CH"/>
        </w:rPr>
        <w:t xml:space="preserve">Seit Inkrafttreten des Invalidenversicherungsgesetzes 1959 hat sich somit das </w:t>
      </w:r>
      <w:r w:rsidRPr="00CB3FDD">
        <w:rPr>
          <w:b/>
          <w:sz w:val="22"/>
          <w:lang w:eastAsia="de-CH"/>
        </w:rPr>
        <w:t>Rechtsgebiet</w:t>
      </w:r>
      <w:r w:rsidRPr="00CB3FDD">
        <w:rPr>
          <w:sz w:val="22"/>
          <w:lang w:eastAsia="de-CH"/>
        </w:rPr>
        <w:t xml:space="preserve">, in dem die Behindertenorganisationen ihre Dienstleistungen erbringen sowie ihre Begleit- und Kontrollfunktion wahrnehmen, </w:t>
      </w:r>
      <w:r w:rsidRPr="00CB3FDD">
        <w:rPr>
          <w:b/>
          <w:sz w:val="22"/>
          <w:lang w:eastAsia="de-CH"/>
        </w:rPr>
        <w:t>grundlegend verändert</w:t>
      </w:r>
      <w:r w:rsidRPr="00CB3FDD">
        <w:rPr>
          <w:sz w:val="22"/>
          <w:lang w:eastAsia="de-CH"/>
        </w:rPr>
        <w:t xml:space="preserve">. Seine </w:t>
      </w:r>
      <w:r w:rsidRPr="00CB3FDD">
        <w:rPr>
          <w:b/>
          <w:sz w:val="22"/>
          <w:lang w:eastAsia="de-CH"/>
        </w:rPr>
        <w:t>Tragweite und Komplexität sind mit der damaligen Ausgangslage kaum noch zu vergleichen</w:t>
      </w:r>
      <w:r w:rsidRPr="00CB3FDD">
        <w:rPr>
          <w:sz w:val="22"/>
          <w:lang w:eastAsia="de-CH"/>
        </w:rPr>
        <w:t>.</w:t>
      </w:r>
    </w:p>
    <w:p w14:paraId="7109E928" w14:textId="77777777" w:rsidR="00CB3FDD" w:rsidRPr="00CB3FDD" w:rsidRDefault="00CB3FDD" w:rsidP="00CB3FDD">
      <w:pPr>
        <w:pStyle w:val="berschrift3"/>
        <w:numPr>
          <w:ilvl w:val="2"/>
          <w:numId w:val="38"/>
        </w:numPr>
        <w:tabs>
          <w:tab w:val="num" w:pos="852"/>
        </w:tabs>
        <w:ind w:left="852" w:hanging="284"/>
        <w:rPr>
          <w:szCs w:val="22"/>
          <w:lang w:eastAsia="de-CH"/>
        </w:rPr>
      </w:pPr>
      <w:bookmarkStart w:id="82" w:name="_Toc161510808"/>
      <w:bookmarkStart w:id="83" w:name="_Toc161749162"/>
      <w:r w:rsidRPr="00CB3FDD">
        <w:rPr>
          <w:szCs w:val="22"/>
        </w:rPr>
        <w:t>Finanzierung nicht angepasst</w:t>
      </w:r>
      <w:bookmarkEnd w:id="82"/>
      <w:bookmarkEnd w:id="83"/>
    </w:p>
    <w:p w14:paraId="24428C82" w14:textId="77777777" w:rsidR="00CB3FDD" w:rsidRPr="00CB3FDD" w:rsidRDefault="00CB3FDD" w:rsidP="00CB3FDD">
      <w:pPr>
        <w:pStyle w:val="Textkrper"/>
        <w:rPr>
          <w:sz w:val="22"/>
          <w:lang w:eastAsia="de-CH"/>
        </w:rPr>
      </w:pPr>
      <w:r w:rsidRPr="00CB3FDD">
        <w:rPr>
          <w:sz w:val="22"/>
          <w:lang w:eastAsia="de-CH"/>
        </w:rPr>
        <w:t xml:space="preserve">Zwar sieht das BehiG </w:t>
      </w:r>
      <w:r w:rsidRPr="00CB3FDD">
        <w:rPr>
          <w:b/>
          <w:sz w:val="22"/>
          <w:lang w:eastAsia="de-CH"/>
        </w:rPr>
        <w:t>punktuell</w:t>
      </w:r>
      <w:r w:rsidRPr="00CB3FDD">
        <w:rPr>
          <w:sz w:val="22"/>
          <w:lang w:eastAsia="de-CH"/>
        </w:rPr>
        <w:t xml:space="preserve"> die Möglichkeit vor, die Arbeit der Behindertenorganisationen mit Bezug auf die BehiG-Umsetzung </w:t>
      </w:r>
      <w:r w:rsidRPr="00CB3FDD">
        <w:rPr>
          <w:b/>
          <w:sz w:val="22"/>
          <w:lang w:eastAsia="de-CH"/>
        </w:rPr>
        <w:t>finanziell zu unterstützen</w:t>
      </w:r>
      <w:r w:rsidRPr="00CB3FDD">
        <w:rPr>
          <w:sz w:val="22"/>
          <w:lang w:eastAsia="de-CH"/>
        </w:rPr>
        <w:t>. So kann der Bund in Ergänzung zu den Leistungen der Invalidenversicherung gemäss Art. 14 Abs. 3 lit. b BehiG «nicht gewinnorientierte Organisationen und Institutionen von gesamtschweizerischer Bedeutung unterstützen, die sich um sprach- und verständigungspolitische Anliegen Sprach-, Hör- oder Sehbehinderter bemühen». Nach Art. 16 BehiG kann er sich an «</w:t>
      </w:r>
      <w:r w:rsidRPr="00CB3FDD">
        <w:rPr>
          <w:b/>
          <w:sz w:val="22"/>
          <w:lang w:eastAsia="de-CH"/>
        </w:rPr>
        <w:t>Programmen</w:t>
      </w:r>
      <w:r w:rsidRPr="00CB3FDD">
        <w:rPr>
          <w:sz w:val="22"/>
          <w:lang w:eastAsia="de-CH"/>
        </w:rPr>
        <w:t xml:space="preserve">» gesamtschweizerischer oder sprachregionaler Organisationen beteiligen, insbesondere mit </w:t>
      </w:r>
      <w:r w:rsidRPr="00CB3FDD">
        <w:rPr>
          <w:b/>
          <w:sz w:val="22"/>
          <w:lang w:eastAsia="de-CH"/>
        </w:rPr>
        <w:t>Finanzhilfen</w:t>
      </w:r>
      <w:r w:rsidRPr="00CB3FDD">
        <w:rPr>
          <w:sz w:val="22"/>
          <w:lang w:eastAsia="de-CH"/>
        </w:rPr>
        <w:t>, die ‘der besseren Integration Behinderter in die Gesellschaft dienen’».</w:t>
      </w:r>
    </w:p>
    <w:p w14:paraId="28151D23" w14:textId="77777777" w:rsidR="00CB3FDD" w:rsidRPr="00CB3FDD" w:rsidRDefault="00CB3FDD" w:rsidP="00CB3FDD">
      <w:pPr>
        <w:pStyle w:val="Textkrper"/>
        <w:rPr>
          <w:sz w:val="22"/>
          <w:lang w:eastAsia="de-CH"/>
        </w:rPr>
      </w:pPr>
      <w:r w:rsidRPr="00CB3FDD">
        <w:rPr>
          <w:sz w:val="22"/>
          <w:lang w:eastAsia="de-CH"/>
        </w:rPr>
        <w:t xml:space="preserve">Abgesehen davon, und bis auf eine Änderung von Art. 74 Abs. 1 lit. d IVG per 1.1.2022, ist die </w:t>
      </w:r>
      <w:r w:rsidRPr="00CB3FDD">
        <w:rPr>
          <w:b/>
          <w:sz w:val="22"/>
          <w:lang w:eastAsia="de-CH"/>
        </w:rPr>
        <w:t xml:space="preserve">gesetzliche Grundlage für die Finanzierung der Arbeit der Behindertenorganisationen seit 1959 </w:t>
      </w:r>
      <w:r w:rsidRPr="00CB3FDD">
        <w:rPr>
          <w:b/>
          <w:sz w:val="22"/>
        </w:rPr>
        <w:t>unverändert</w:t>
      </w:r>
      <w:r w:rsidRPr="00CB3FDD">
        <w:rPr>
          <w:b/>
          <w:sz w:val="22"/>
          <w:lang w:eastAsia="de-CH"/>
        </w:rPr>
        <w:t xml:space="preserve"> geblieben</w:t>
      </w:r>
      <w:r w:rsidRPr="00CB3FDD">
        <w:rPr>
          <w:sz w:val="22"/>
          <w:lang w:eastAsia="de-CH"/>
        </w:rPr>
        <w:t xml:space="preserve">. </w:t>
      </w:r>
      <w:r w:rsidRPr="00CB3FDD">
        <w:rPr>
          <w:b/>
          <w:sz w:val="22"/>
          <w:lang w:eastAsia="de-CH"/>
        </w:rPr>
        <w:t>Zuständig für die Verteilung</w:t>
      </w:r>
      <w:r w:rsidRPr="00CB3FDD">
        <w:rPr>
          <w:sz w:val="22"/>
          <w:lang w:eastAsia="de-CH"/>
        </w:rPr>
        <w:t xml:space="preserve"> der Gelder ist nach wie vor </w:t>
      </w:r>
      <w:r w:rsidRPr="00CB3FDD">
        <w:rPr>
          <w:sz w:val="22"/>
          <w:lang w:eastAsia="de-CH"/>
        </w:rPr>
        <w:lastRenderedPageBreak/>
        <w:t xml:space="preserve">ausschliesslich das </w:t>
      </w:r>
      <w:r w:rsidRPr="00CB3FDD">
        <w:rPr>
          <w:b/>
          <w:sz w:val="22"/>
          <w:lang w:eastAsia="de-CH"/>
        </w:rPr>
        <w:t>Bundesamt für Sozialversicherungen</w:t>
      </w:r>
      <w:r w:rsidRPr="00CB3FDD">
        <w:rPr>
          <w:sz w:val="22"/>
          <w:lang w:eastAsia="de-CH"/>
        </w:rPr>
        <w:t xml:space="preserve">.Das EBGB als Stelle des Bundes für die Koordination der BRK- und BehiG-Umsetzung, ist daran nicht beteiligt. </w:t>
      </w:r>
    </w:p>
    <w:p w14:paraId="4D0B8D3F" w14:textId="77777777" w:rsidR="00CB3FDD" w:rsidRPr="00CB3FDD" w:rsidRDefault="00CB3FDD" w:rsidP="00CB3FDD">
      <w:pPr>
        <w:pStyle w:val="berschrift3"/>
        <w:numPr>
          <w:ilvl w:val="2"/>
          <w:numId w:val="38"/>
        </w:numPr>
        <w:tabs>
          <w:tab w:val="num" w:pos="852"/>
        </w:tabs>
        <w:ind w:left="852" w:hanging="284"/>
        <w:rPr>
          <w:szCs w:val="22"/>
          <w:lang w:eastAsia="de-CH"/>
        </w:rPr>
      </w:pPr>
      <w:bookmarkStart w:id="84" w:name="_Toc161749163"/>
      <w:r w:rsidRPr="00CB3FDD">
        <w:rPr>
          <w:szCs w:val="22"/>
        </w:rPr>
        <w:t>Aktualisierung der Rechtsgrundlagen zur Finanzierung</w:t>
      </w:r>
      <w:bookmarkEnd w:id="84"/>
      <w:r w:rsidRPr="00CB3FDD">
        <w:rPr>
          <w:szCs w:val="22"/>
        </w:rPr>
        <w:t xml:space="preserve"> </w:t>
      </w:r>
    </w:p>
    <w:p w14:paraId="4F36994E" w14:textId="2D490D85" w:rsidR="00CB3FDD" w:rsidRPr="00CB3FDD" w:rsidRDefault="00CB3FDD" w:rsidP="00CB3FDD">
      <w:pPr>
        <w:pStyle w:val="Textkrper"/>
        <w:rPr>
          <w:sz w:val="22"/>
          <w:lang w:eastAsia="de-CH"/>
        </w:rPr>
      </w:pPr>
      <w:r w:rsidRPr="00CB3FDD">
        <w:rPr>
          <w:sz w:val="22"/>
          <w:lang w:eastAsia="de-CH"/>
        </w:rPr>
        <w:t xml:space="preserve">Nicht umsonst verlangt die BRK, dass die Staaten die Organisationen von Menschen mit Behinderungen bei ihrer Umsetzung eng miteinbeziehen (Art. 4 Abs. 3, Art. 33 Abs. 3; dazu Ziffer </w:t>
      </w:r>
      <w:r w:rsidRPr="00CB3FDD">
        <w:rPr>
          <w:sz w:val="22"/>
          <w:lang w:eastAsia="de-CH"/>
        </w:rPr>
        <w:fldChar w:fldCharType="begin"/>
      </w:r>
      <w:r w:rsidRPr="00CB3FDD">
        <w:rPr>
          <w:sz w:val="22"/>
          <w:lang w:eastAsia="de-CH"/>
        </w:rPr>
        <w:instrText xml:space="preserve"> REF _Ref161565753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6.1</w:t>
      </w:r>
      <w:r w:rsidRPr="00CB3FDD">
        <w:rPr>
          <w:sz w:val="22"/>
          <w:lang w:eastAsia="de-CH"/>
        </w:rPr>
        <w:fldChar w:fldCharType="end"/>
      </w:r>
      <w:r w:rsidRPr="00CB3FDD">
        <w:rPr>
          <w:sz w:val="22"/>
          <w:lang w:eastAsia="de-CH"/>
        </w:rPr>
        <w:t xml:space="preserve">). Die Erfahrung zeigt, dass dem Staat ohne diesen Einbezug regelmässig </w:t>
      </w:r>
      <w:r w:rsidRPr="00CB3FDD">
        <w:rPr>
          <w:sz w:val="22"/>
        </w:rPr>
        <w:t>eine</w:t>
      </w:r>
      <w:r w:rsidRPr="00CB3FDD">
        <w:rPr>
          <w:sz w:val="22"/>
          <w:lang w:eastAsia="de-CH"/>
        </w:rPr>
        <w:t xml:space="preserve"> Expertise fehlt, die unentbehrlich ist, um insbesondere im Gesetzgebungsverfahren das Problem der Diskriminierung von Menschen mit Behinderungen im Lichte der BRK anzugehen. Zur Wahrnehmung des von der BRK geforderten Einbezuges und ihrer Aufgaben im Zusammenhang mit der BRK, dem verfassungsrechtlichen Diskriminierungsverbot sowie dem BehiG sind die Behindertenorganisationen jedoch auf entsprechende Finanzierung angewiesen.</w:t>
      </w:r>
    </w:p>
    <w:p w14:paraId="7CA422FE" w14:textId="494C8A6A" w:rsidR="00CB3FDD" w:rsidRPr="00CB3FDD" w:rsidRDefault="00E93B6D" w:rsidP="00CB3FDD">
      <w:pPr>
        <w:pStyle w:val="Textkrper"/>
        <w:rPr>
          <w:sz w:val="22"/>
          <w:lang w:eastAsia="de-CH"/>
        </w:rPr>
      </w:pPr>
      <w:r>
        <w:rPr>
          <w:sz w:val="22"/>
          <w:lang w:eastAsia="de-CH"/>
        </w:rPr>
        <w:t>Pro Infirmis</w:t>
      </w:r>
      <w:r w:rsidR="00CB3FDD" w:rsidRPr="00CB3FDD">
        <w:rPr>
          <w:sz w:val="22"/>
          <w:lang w:eastAsia="de-CH"/>
        </w:rPr>
        <w:t xml:space="preserve"> begrüsst in diesem Zusammenhang die Bereitschaft des EBGB, der SODK und des BSV vom November 2023, mit den Behindertenorganisationen einen «politisch-strategischen Austausch zu den Finanzhilfen nach Art. 74 IVG» zu führen. Die verfassungsrechtliche Kompetenzgrundlage sowie der nötige Spielraum für eine grundsätzliche Diskussion zu den Finanzhilfen an die Behindertenorganisationen und deren Höhe ist durch Art. 112b Abs. 1 sowie 112c Abs. 2 BV gegeben. Aus der Sicht von </w:t>
      </w:r>
      <w:r>
        <w:rPr>
          <w:sz w:val="22"/>
          <w:lang w:eastAsia="de-CH"/>
        </w:rPr>
        <w:t>Pro Infirmis</w:t>
      </w:r>
      <w:r w:rsidR="00CB3FDD" w:rsidRPr="00CB3FDD">
        <w:rPr>
          <w:sz w:val="22"/>
          <w:lang w:eastAsia="de-CH"/>
        </w:rPr>
        <w:t xml:space="preserve"> muss es insbesondere auch darum gehen, diese verfassungsrechtlichen Bestimmungen sowie Art. 74 IVG im Lichte der BRK auszulegen und umzusetzen. </w:t>
      </w:r>
    </w:p>
    <w:p w14:paraId="3FDF6C6D" w14:textId="77777777" w:rsidR="00CB3FDD" w:rsidRPr="00CB3FDD" w:rsidRDefault="00CB3FDD" w:rsidP="00CB3FDD">
      <w:pPr>
        <w:pStyle w:val="Textkrper"/>
        <w:rPr>
          <w:sz w:val="22"/>
          <w:lang w:eastAsia="de-CH"/>
        </w:rPr>
      </w:pPr>
      <w:r w:rsidRPr="00CB3FDD">
        <w:rPr>
          <w:sz w:val="22"/>
          <w:lang w:eastAsia="de-CH"/>
        </w:rPr>
        <w:t>Im Rahmen der BehiG-Revision sind daher Grundlagen für die ergänzende Finanzierung derjenigen Arbeit zu schaffen, welche die Behindertenorganisationen im Zusammenhang mit der Umsetzung der BRK, des Art. 8 Abs. 2 BV und des BehiG leisten. Konkret geht es zum Beispiel um die Begleitung des Bundes im Rahmen von Art. 4 Abs. 3 BRK, um die Begleitung des Bundes bei den Staatenberichtsverfahren zu den UNO-Menschenrechtskonventionen, die Information bzw. Sensibilisierung von Menschen mit Behinderungen und der Öffentlichkeit über die Rechte nach BRK (Art. 8 BRK). Die finanzielle Unterstützung von «Programmen» nach Art. 16 BehiG deckt diesen Bedarf nicht ab.</w:t>
      </w:r>
    </w:p>
    <w:p w14:paraId="794F58B4" w14:textId="77777777" w:rsidR="00CB3FDD" w:rsidRPr="00CB3FDD" w:rsidRDefault="00CB3FDD" w:rsidP="00CB3FDD">
      <w:pPr>
        <w:pBdr>
          <w:top w:val="single" w:sz="4" w:space="1" w:color="auto"/>
          <w:left w:val="single" w:sz="4" w:space="4" w:color="auto"/>
          <w:bottom w:val="single" w:sz="4" w:space="1" w:color="auto"/>
          <w:right w:val="single" w:sz="4" w:space="4" w:color="auto"/>
        </w:pBdr>
        <w:shd w:val="clear" w:color="auto" w:fill="FFFFFF" w:themeFill="background1"/>
        <w:spacing w:before="240"/>
        <w:rPr>
          <w:b/>
          <w:szCs w:val="22"/>
        </w:rPr>
      </w:pPr>
      <w:r w:rsidRPr="00CB3FDD">
        <w:rPr>
          <w:b/>
          <w:szCs w:val="22"/>
        </w:rPr>
        <w:t>Forderung</w:t>
      </w:r>
    </w:p>
    <w:p w14:paraId="740AD9B0" w14:textId="77777777" w:rsidR="00CB3FDD" w:rsidRPr="00CB3FDD" w:rsidRDefault="00CB3FDD" w:rsidP="00CB3FDD">
      <w:pPr>
        <w:pBdr>
          <w:top w:val="single" w:sz="4" w:space="1" w:color="auto"/>
          <w:left w:val="single" w:sz="4" w:space="4" w:color="auto"/>
          <w:bottom w:val="single" w:sz="4" w:space="1" w:color="auto"/>
          <w:right w:val="single" w:sz="4" w:space="4" w:color="auto"/>
        </w:pBdr>
        <w:shd w:val="clear" w:color="auto" w:fill="FFFFFF" w:themeFill="background1"/>
        <w:spacing w:before="240"/>
        <w:rPr>
          <w:szCs w:val="22"/>
        </w:rPr>
      </w:pPr>
      <w:r w:rsidRPr="00CB3FDD">
        <w:rPr>
          <w:szCs w:val="22"/>
        </w:rPr>
        <w:t>Schaffung einer Grundlage im BehiG für die ergänzende Finanzierung der Arbeit der Behindertenorganisationen im Zusammenhang mit der Umsetzung der BRK, von Art. 8 Abs. 2 BV und des BehiG.</w:t>
      </w:r>
    </w:p>
    <w:p w14:paraId="5F4E2F25" w14:textId="77777777" w:rsidR="00CB3FDD" w:rsidRPr="00CB3FDD" w:rsidRDefault="00CB3FDD" w:rsidP="00CB3FDD">
      <w:pPr>
        <w:pStyle w:val="berschrift2"/>
        <w:numPr>
          <w:ilvl w:val="1"/>
          <w:numId w:val="38"/>
        </w:numPr>
        <w:tabs>
          <w:tab w:val="num" w:pos="568"/>
        </w:tabs>
        <w:ind w:left="568" w:hanging="284"/>
        <w:rPr>
          <w:sz w:val="22"/>
          <w:szCs w:val="22"/>
        </w:rPr>
      </w:pPr>
      <w:bookmarkStart w:id="85" w:name="_Toc161510810"/>
      <w:bookmarkStart w:id="86" w:name="_Ref161651665"/>
      <w:bookmarkStart w:id="87" w:name="_Toc161749164"/>
      <w:r w:rsidRPr="00CB3FDD">
        <w:rPr>
          <w:sz w:val="22"/>
          <w:szCs w:val="22"/>
        </w:rPr>
        <w:t>Institutionelle Verankerung und Ressourcen des EBGB</w:t>
      </w:r>
      <w:bookmarkEnd w:id="85"/>
      <w:bookmarkEnd w:id="86"/>
      <w:bookmarkEnd w:id="87"/>
    </w:p>
    <w:p w14:paraId="5573822C" w14:textId="77777777" w:rsidR="00CB3FDD" w:rsidRPr="00CB3FDD" w:rsidRDefault="00CB3FDD" w:rsidP="00CB3FDD">
      <w:pPr>
        <w:rPr>
          <w:szCs w:val="22"/>
        </w:rPr>
      </w:pPr>
      <w:r w:rsidRPr="00CB3FDD">
        <w:rPr>
          <w:szCs w:val="22"/>
          <w:lang w:eastAsia="de-CH"/>
        </w:rPr>
        <w:t xml:space="preserve">Das EBGB ist die </w:t>
      </w:r>
      <w:r w:rsidRPr="00CB3FDD">
        <w:rPr>
          <w:b/>
          <w:szCs w:val="22"/>
          <w:lang w:eastAsia="de-CH"/>
        </w:rPr>
        <w:t>BRK-Anlaufstelle</w:t>
      </w:r>
      <w:r w:rsidRPr="00CB3FDD">
        <w:rPr>
          <w:szCs w:val="22"/>
          <w:lang w:eastAsia="de-CH"/>
        </w:rPr>
        <w:t xml:space="preserve"> innerhalb der Bundesverwaltung (33 Abs. 1 BRK). Gemäss Art. 19 Abs. 1 BehiV ist es zudem «</w:t>
      </w:r>
      <w:r w:rsidRPr="00CB3FDD">
        <w:rPr>
          <w:b/>
          <w:szCs w:val="22"/>
          <w:lang w:eastAsia="de-CH"/>
        </w:rPr>
        <w:t>für Bundesaufgaben im Zusammenhang mit der Gleichstellung der Menschen mit Behinderungen zuständig</w:t>
      </w:r>
      <w:r w:rsidRPr="00CB3FDD">
        <w:rPr>
          <w:szCs w:val="22"/>
          <w:lang w:eastAsia="de-CH"/>
        </w:rPr>
        <w:t>, soweit sie nicht von anderen besonderen Fachstellen der Bundesverwaltung wahrgenommen werden müssen». Das EBGB konnte sich zuletzt zweifelsohne positiv entwickeln, insbesondere mit Bezug auf die</w:t>
      </w:r>
      <w:r w:rsidRPr="00CB3FDD">
        <w:rPr>
          <w:szCs w:val="22"/>
        </w:rPr>
        <w:t xml:space="preserve"> Behindertenpolitik und ihre Schwerpunktprogramme 2023-2026. Zwei wichtige Hindernisse beeinträchtigen jedoch die Wirksamkeit seiner Tätigkeit: </w:t>
      </w:r>
    </w:p>
    <w:p w14:paraId="4B55A2C2" w14:textId="77777777" w:rsidR="00CB3FDD" w:rsidRPr="00CB3FDD" w:rsidRDefault="00CB3FDD" w:rsidP="00CB3FDD">
      <w:pPr>
        <w:pStyle w:val="Textkrper"/>
        <w:numPr>
          <w:ilvl w:val="0"/>
          <w:numId w:val="41"/>
        </w:numPr>
        <w:spacing w:line="280" w:lineRule="exact"/>
        <w:jc w:val="both"/>
        <w:rPr>
          <w:sz w:val="22"/>
          <w:lang w:eastAsia="de-CH"/>
        </w:rPr>
      </w:pPr>
      <w:r w:rsidRPr="00CB3FDD">
        <w:rPr>
          <w:sz w:val="22"/>
          <w:lang w:eastAsia="de-CH"/>
        </w:rPr>
        <w:t xml:space="preserve">Das Behindertengleichstellungsrecht (BRK, BV, BehiG) ist eine </w:t>
      </w:r>
      <w:r w:rsidRPr="00CB3FDD">
        <w:rPr>
          <w:b/>
          <w:sz w:val="22"/>
          <w:lang w:eastAsia="de-CH"/>
        </w:rPr>
        <w:t>Querschnittsmaterie</w:t>
      </w:r>
      <w:r w:rsidRPr="00CB3FDD">
        <w:rPr>
          <w:sz w:val="22"/>
          <w:lang w:eastAsia="de-CH"/>
        </w:rPr>
        <w:t xml:space="preserve">: es betrifft alle Lebensbereiche, entsprechend auch alle Tätigkeitsbereiche der Verwaltung. Als </w:t>
      </w:r>
      <w:r w:rsidRPr="00CB3FDD">
        <w:rPr>
          <w:b/>
          <w:sz w:val="22"/>
          <w:lang w:eastAsia="de-CH"/>
        </w:rPr>
        <w:t>zentrale Stelle für die Gleichstellung von Menschen mit Behinderungen innerhalb der Bundesverwaltung</w:t>
      </w:r>
      <w:r w:rsidRPr="00CB3FDD">
        <w:rPr>
          <w:sz w:val="22"/>
          <w:lang w:eastAsia="de-CH"/>
        </w:rPr>
        <w:t xml:space="preserve"> muss das EBGB eng mit sämtlichen Departementen </w:t>
      </w:r>
      <w:r w:rsidRPr="00CB3FDD">
        <w:rPr>
          <w:sz w:val="22"/>
          <w:lang w:eastAsia="de-CH"/>
        </w:rPr>
        <w:lastRenderedPageBreak/>
        <w:t xml:space="preserve">zusammenarbeiten. Es muss sie bei der Umsetzung der BRK mit einer Expertise begleiten und sich dabei genügend Gehör verschaffen können. Zurzeit ist das EBGB im Generalsekretariat des EDI verankert. Im Gegensatz dazu ist das Eidgenössische Büro für die Gleichstellung von Frau und Mann, welche analoge Aufgaben im Bereich der Gleichstellung von Frau und Mann wahrnimmt, ein Bundesamt. Es gibt keinen sachlichen Grund für diese Unterscheidung in der institutionellen Hierarchie. Die Gelegenheit der BehiG-Revision ist als Anlass zu nehmen, um aus dem EBGB ebenfalls ein Bundesamt zu machen. </w:t>
      </w:r>
    </w:p>
    <w:p w14:paraId="2F51BEF9" w14:textId="77777777" w:rsidR="00CB3FDD" w:rsidRPr="00CB3FDD" w:rsidRDefault="00CB3FDD" w:rsidP="00CB3FDD">
      <w:pPr>
        <w:pStyle w:val="Textkrper"/>
        <w:numPr>
          <w:ilvl w:val="0"/>
          <w:numId w:val="41"/>
        </w:numPr>
        <w:spacing w:line="280" w:lineRule="exact"/>
        <w:jc w:val="both"/>
        <w:rPr>
          <w:sz w:val="22"/>
          <w:lang w:eastAsia="de-CH"/>
        </w:rPr>
      </w:pPr>
      <w:r w:rsidRPr="00CB3FDD">
        <w:rPr>
          <w:sz w:val="22"/>
          <w:lang w:eastAsia="de-CH"/>
        </w:rPr>
        <w:t xml:space="preserve">Die Ratifizierung der BRK hat dazu geführt, dass die Aufgaben des EGBG gewachsen und zudem noch komplexer geworden sind. Es handelt sich um ein weitgehend neues Rechtsgebiet mit zahlreichen neuen Fragen, die geklärt werden müssen. Zwar ist nicht das EBGB für die BRK-Umsetzung in sämtlichen Bereichen zuständig, sondern auch die Departemente in ihren jeweiligen Zuständigkeitsgebieten. Die Erfahrung der letzten 10 Jahren zeigt jedoch, dass diese zwar über die Expertise in ihren Rechtsgebieten verfügen, jedoch nicht spezifisch mit Bezug auf mögliche Auswirkungen für Menschen mit Behinderungen. Es ist unabdingbar, dass das EBGB über genügend Ressourcen verfügt, um die spezifische Expertise rund um die Rechte von Menschen mit Behinderungen sicher- und den Departementen zur Verfügung stellen zu können (so zum Beispiel im Rahmen der Umsetzung von Art. 12 BRK durch eine Anpassung des ZGB, oder von Art. 27 BRK durch eine Anpassung des IVG und des IFEG). </w:t>
      </w:r>
    </w:p>
    <w:p w14:paraId="6E182FC5" w14:textId="77777777" w:rsidR="00CB3FDD" w:rsidRPr="00CB3FDD" w:rsidRDefault="00CB3FDD" w:rsidP="00CB3FDD">
      <w:pPr>
        <w:pBdr>
          <w:top w:val="single" w:sz="4" w:space="1" w:color="auto"/>
          <w:left w:val="single" w:sz="4" w:space="4" w:color="auto"/>
          <w:bottom w:val="single" w:sz="4" w:space="1" w:color="auto"/>
          <w:right w:val="single" w:sz="4" w:space="4" w:color="auto"/>
        </w:pBdr>
        <w:shd w:val="clear" w:color="auto" w:fill="FFFFFF" w:themeFill="background1"/>
        <w:spacing w:before="240"/>
        <w:ind w:left="360"/>
        <w:rPr>
          <w:b/>
          <w:szCs w:val="22"/>
        </w:rPr>
      </w:pPr>
      <w:r w:rsidRPr="00CB3FDD">
        <w:rPr>
          <w:b/>
          <w:szCs w:val="22"/>
        </w:rPr>
        <w:t>Forderung</w:t>
      </w:r>
    </w:p>
    <w:p w14:paraId="30ED8630" w14:textId="77777777" w:rsidR="00CB3FDD" w:rsidRPr="00CB3FDD" w:rsidRDefault="00CB3FDD" w:rsidP="00CB3FDD">
      <w:pPr>
        <w:pStyle w:val="Listenabsatz"/>
        <w:numPr>
          <w:ilvl w:val="0"/>
          <w:numId w:val="41"/>
        </w:numPr>
        <w:pBdr>
          <w:top w:val="single" w:sz="4" w:space="1" w:color="auto"/>
          <w:left w:val="single" w:sz="4" w:space="4" w:color="auto"/>
          <w:bottom w:val="single" w:sz="4" w:space="1" w:color="auto"/>
          <w:right w:val="single" w:sz="4" w:space="4" w:color="auto"/>
        </w:pBdr>
        <w:shd w:val="clear" w:color="auto" w:fill="FFFFFF" w:themeFill="background1"/>
        <w:spacing w:before="240" w:after="120" w:line="280" w:lineRule="exact"/>
        <w:contextualSpacing w:val="0"/>
        <w:jc w:val="both"/>
        <w:rPr>
          <w:szCs w:val="22"/>
        </w:rPr>
      </w:pPr>
      <w:r w:rsidRPr="00CB3FDD">
        <w:rPr>
          <w:szCs w:val="22"/>
        </w:rPr>
        <w:t>Das EBGB soll ein Bundesamt werden.</w:t>
      </w:r>
    </w:p>
    <w:p w14:paraId="2341AF63" w14:textId="77777777" w:rsidR="00CB3FDD" w:rsidRPr="00CB3FDD" w:rsidRDefault="00CB3FDD" w:rsidP="00CB3FDD">
      <w:pPr>
        <w:pStyle w:val="Listenabsatz"/>
        <w:numPr>
          <w:ilvl w:val="0"/>
          <w:numId w:val="41"/>
        </w:numPr>
        <w:pBdr>
          <w:top w:val="single" w:sz="4" w:space="1" w:color="auto"/>
          <w:left w:val="single" w:sz="4" w:space="4" w:color="auto"/>
          <w:bottom w:val="single" w:sz="4" w:space="1" w:color="auto"/>
          <w:right w:val="single" w:sz="4" w:space="4" w:color="auto"/>
        </w:pBdr>
        <w:shd w:val="clear" w:color="auto" w:fill="FFFFFF" w:themeFill="background1"/>
        <w:spacing w:before="240" w:after="120" w:line="280" w:lineRule="exact"/>
        <w:contextualSpacing w:val="0"/>
        <w:jc w:val="both"/>
        <w:rPr>
          <w:szCs w:val="22"/>
        </w:rPr>
      </w:pPr>
      <w:r w:rsidRPr="00CB3FDD">
        <w:rPr>
          <w:szCs w:val="22"/>
        </w:rPr>
        <w:t>Die Ressourcen des EBGB sollen aufgestockt werden, damit es seine Aufgaben im Zusammenhang mit der Umsetzung des BRK, insbesondere die Unterstützung der anderen Departemente, wahrnehmen kann.</w:t>
      </w:r>
    </w:p>
    <w:p w14:paraId="29F23B8A" w14:textId="77777777" w:rsidR="00CB3FDD" w:rsidRPr="00CB3FDD" w:rsidRDefault="00CB3FDD" w:rsidP="00CB3FDD">
      <w:pPr>
        <w:pStyle w:val="berschrift1"/>
        <w:numPr>
          <w:ilvl w:val="0"/>
          <w:numId w:val="38"/>
        </w:numPr>
        <w:tabs>
          <w:tab w:val="num" w:pos="284"/>
        </w:tabs>
        <w:ind w:left="284" w:hanging="284"/>
        <w:rPr>
          <w:sz w:val="22"/>
          <w:szCs w:val="22"/>
        </w:rPr>
      </w:pPr>
      <w:bookmarkStart w:id="88" w:name="_Ref161600096"/>
      <w:bookmarkStart w:id="89" w:name="_Ref161606636"/>
      <w:bookmarkStart w:id="90" w:name="_Toc161749165"/>
      <w:r w:rsidRPr="00CB3FDD">
        <w:rPr>
          <w:sz w:val="22"/>
          <w:szCs w:val="22"/>
        </w:rPr>
        <w:t>Kurzbemerkungen zu den einzelnen Bestimmungen des VE-BehiG</w:t>
      </w:r>
      <w:bookmarkEnd w:id="88"/>
      <w:bookmarkEnd w:id="89"/>
      <w:bookmarkEnd w:id="90"/>
    </w:p>
    <w:p w14:paraId="4CE2D70D" w14:textId="3142F868" w:rsidR="00CB3FDD" w:rsidRPr="00CB3FDD" w:rsidRDefault="00CB3FDD" w:rsidP="00CB3FDD">
      <w:pPr>
        <w:pStyle w:val="Textkrper"/>
        <w:rPr>
          <w:sz w:val="22"/>
          <w:lang w:eastAsia="de-CH"/>
        </w:rPr>
      </w:pPr>
      <w:r w:rsidRPr="00CB3FDD">
        <w:rPr>
          <w:sz w:val="22"/>
          <w:lang w:eastAsia="de-CH"/>
        </w:rPr>
        <w:t xml:space="preserve">Der VE-BehiG muss im Sinne unserer Vorschläge nach Ziffern </w:t>
      </w:r>
      <w:r w:rsidRPr="00CB3FDD">
        <w:rPr>
          <w:sz w:val="22"/>
          <w:lang w:eastAsia="de-CH"/>
        </w:rPr>
        <w:fldChar w:fldCharType="begin"/>
      </w:r>
      <w:r w:rsidRPr="00CB3FDD">
        <w:rPr>
          <w:sz w:val="22"/>
          <w:lang w:eastAsia="de-CH"/>
        </w:rPr>
        <w:instrText xml:space="preserve"> REF _Ref161565907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3</w:t>
      </w:r>
      <w:r w:rsidRPr="00CB3FDD">
        <w:rPr>
          <w:sz w:val="22"/>
          <w:lang w:eastAsia="de-CH"/>
        </w:rPr>
        <w:fldChar w:fldCharType="end"/>
      </w:r>
      <w:r w:rsidRPr="00CB3FDD">
        <w:rPr>
          <w:sz w:val="22"/>
          <w:lang w:eastAsia="de-CH"/>
        </w:rPr>
        <w:t xml:space="preserve"> bis </w:t>
      </w:r>
      <w:r w:rsidRPr="00CB3FDD">
        <w:rPr>
          <w:sz w:val="22"/>
          <w:lang w:eastAsia="de-CH"/>
        </w:rPr>
        <w:fldChar w:fldCharType="begin"/>
      </w:r>
      <w:r w:rsidRPr="00CB3FDD">
        <w:rPr>
          <w:sz w:val="22"/>
          <w:lang w:eastAsia="de-CH"/>
        </w:rPr>
        <w:instrText xml:space="preserve"> REF _Ref161565935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6</w:t>
      </w:r>
      <w:r w:rsidRPr="00CB3FDD">
        <w:rPr>
          <w:sz w:val="22"/>
          <w:lang w:eastAsia="de-CH"/>
        </w:rPr>
        <w:fldChar w:fldCharType="end"/>
      </w:r>
      <w:r w:rsidRPr="00CB3FDD">
        <w:rPr>
          <w:sz w:val="22"/>
          <w:lang w:eastAsia="de-CH"/>
        </w:rPr>
        <w:t xml:space="preserve"> tiefgreifend überarbeitet werden. Falls sich der Bundesrat trotz der Kritik der Behindertenorganisationen dafür entscheiden würde, im Wesentlichen mit dem vorliegenden Entwurf weiterzufahren, sind nachfolgende Anpassungsvorschläge zu einzelnen Bestimmungen zu berücksichtigen. Aus Sicht von </w:t>
      </w:r>
      <w:r w:rsidR="00E93B6D">
        <w:rPr>
          <w:sz w:val="22"/>
          <w:lang w:eastAsia="de-CH"/>
        </w:rPr>
        <w:t>Pro Infirmis</w:t>
      </w:r>
      <w:r w:rsidRPr="00CB3FDD">
        <w:rPr>
          <w:sz w:val="22"/>
          <w:lang w:eastAsia="de-CH"/>
        </w:rPr>
        <w:t xml:space="preserve"> würde selbst die Umsetzung der vorliegenden Vorschläge noch nicht dazu führen, dass das revidierte BehiG eine ernsthafte Verbesserung der Lebensrealität von Personen mit Behinderungen in der Schweiz bewirken könnte. Es würde sich nach wie vor um den Versuch handeln, einen ungenügenden Gesetzesentwurf kleinteilig zu «flicken», anstatt diesen der erforderlichen umfassenden, konzeptionellen Überarbeitung zu unterziehen. </w:t>
      </w:r>
    </w:p>
    <w:p w14:paraId="3560F739" w14:textId="77777777" w:rsidR="00CB3FDD" w:rsidRPr="00CB3FDD" w:rsidRDefault="00CB3FDD" w:rsidP="00CB3FDD">
      <w:pPr>
        <w:pStyle w:val="berschrift2"/>
        <w:rPr>
          <w:sz w:val="22"/>
          <w:szCs w:val="22"/>
          <w:lang w:eastAsia="de-CH"/>
        </w:rPr>
      </w:pPr>
      <w:bookmarkStart w:id="91" w:name="_Toc161749166"/>
      <w:r w:rsidRPr="00CB3FDD">
        <w:rPr>
          <w:sz w:val="22"/>
          <w:szCs w:val="22"/>
        </w:rPr>
        <w:t>Artikel 1, Absatz 2</w:t>
      </w:r>
      <w:bookmarkEnd w:id="91"/>
    </w:p>
    <w:p w14:paraId="63F915F4" w14:textId="77777777" w:rsidR="00CB3FDD" w:rsidRPr="00CB3FDD" w:rsidRDefault="00CB3FDD" w:rsidP="00CB3FDD">
      <w:pPr>
        <w:pStyle w:val="Textkrper"/>
        <w:rPr>
          <w:sz w:val="22"/>
          <w:lang w:eastAsia="de-CH"/>
        </w:rPr>
      </w:pPr>
      <w:r w:rsidRPr="00CB3FDD">
        <w:rPr>
          <w:sz w:val="22"/>
          <w:lang w:eastAsia="de-CH"/>
        </w:rPr>
        <w:t xml:space="preserve">In seiner heutigen Fassung umschreibt Art. 1 BehiG («Zweck») sowohl den Zweck (Abs. 1) als auch den Gegenstand (Abs. 2) des Gesetzes. Gemäss VE-BehiG soll der Zweck des Gesetzes unverändert bleiben, welcher die Formulierung von Art. 8 Abs. 4 BV übernimmt, wonach es </w:t>
      </w:r>
      <w:r w:rsidRPr="00CB3FDD">
        <w:rPr>
          <w:sz w:val="22"/>
          <w:lang w:eastAsia="de-CH"/>
        </w:rPr>
        <w:lastRenderedPageBreak/>
        <w:t>darum geht, «Benachteiligungen zu verhindern, zu verringern oder zu beseitigen, denen Menschen mit Behinderungen ausgesetzt sind».</w:t>
      </w:r>
    </w:p>
    <w:p w14:paraId="65CC2015" w14:textId="77777777" w:rsidR="00CB3FDD" w:rsidRPr="00CB3FDD" w:rsidRDefault="00CB3FDD" w:rsidP="00CB3FDD">
      <w:pPr>
        <w:pStyle w:val="Textkrper"/>
        <w:rPr>
          <w:sz w:val="22"/>
          <w:lang w:eastAsia="de-CH"/>
        </w:rPr>
      </w:pPr>
      <w:r w:rsidRPr="00CB3FDD">
        <w:rPr>
          <w:i/>
          <w:sz w:val="22"/>
          <w:lang w:eastAsia="de-CH"/>
        </w:rPr>
        <w:t>Neu</w:t>
      </w:r>
      <w:r w:rsidRPr="00CB3FDD">
        <w:rPr>
          <w:sz w:val="22"/>
          <w:lang w:eastAsia="de-CH"/>
        </w:rPr>
        <w:t xml:space="preserve"> sollen gemäss Abs. 2 die Rahmenbedingungen, die das BehiG setzt, es Menschen mit Behinderungen erleichtern, </w:t>
      </w:r>
      <w:r w:rsidRPr="00CB3FDD">
        <w:rPr>
          <w:i/>
          <w:sz w:val="22"/>
          <w:lang w:eastAsia="de-CH"/>
        </w:rPr>
        <w:t>gleichberechtigt</w:t>
      </w:r>
      <w:r w:rsidRPr="00CB3FDD">
        <w:rPr>
          <w:sz w:val="22"/>
          <w:lang w:eastAsia="de-CH"/>
        </w:rPr>
        <w:t xml:space="preserve"> am gesellschaftlichen Leben teilzunehmen. Ergänzend zur bisherigen Auflistung von Bereichen, in denen durch das BehiG die Teilnahme erleichtert werden soll </w:t>
      </w:r>
      <w:r w:rsidRPr="00CB3FDD">
        <w:rPr>
          <w:i/>
          <w:sz w:val="22"/>
          <w:lang w:eastAsia="de-CH"/>
        </w:rPr>
        <w:t>neu</w:t>
      </w:r>
      <w:r w:rsidRPr="00CB3FDD">
        <w:rPr>
          <w:sz w:val="22"/>
          <w:lang w:eastAsia="de-CH"/>
        </w:rPr>
        <w:t xml:space="preserve"> auch das Wohnen («ihre Wohnform zu wählen») sowie die Dienstleistungen («sich Zugang zu Dienstleistungen zu verschaffen») ausdrücklich erwähnt. Hierzu folgende Bemerkungen: </w:t>
      </w:r>
    </w:p>
    <w:p w14:paraId="62F7BBCA" w14:textId="77777777" w:rsidR="00CB3FDD" w:rsidRPr="00CB3FDD" w:rsidRDefault="00CB3FDD" w:rsidP="00CB3FDD">
      <w:pPr>
        <w:pStyle w:val="Textkrper"/>
        <w:numPr>
          <w:ilvl w:val="0"/>
          <w:numId w:val="41"/>
        </w:numPr>
        <w:spacing w:line="280" w:lineRule="exact"/>
        <w:jc w:val="both"/>
        <w:rPr>
          <w:sz w:val="22"/>
          <w:lang w:eastAsia="de-CH"/>
        </w:rPr>
      </w:pPr>
      <w:r w:rsidRPr="00CB3FDD">
        <w:rPr>
          <w:sz w:val="22"/>
          <w:lang w:eastAsia="de-CH"/>
        </w:rPr>
        <w:t>Grundsätzlich ist das Sichtbarmachen des Ziels einer gleichberechtigten und selbstbestimmten Teilhabe von Menschen mit Behinderungen im Zweckartikel des BehiG richtig. Dies erfordert eine BRK-konforme Auslegung des Gesetzgebungsauftrages nach Art. 8 Abs. 4 BV. Wie das aussehen kann, haben die Kantone Basel-Stadt und Basel-Land in ihren «Behindertenrechtegesetze»</w:t>
      </w:r>
      <w:r w:rsidRPr="00CB3FDD">
        <w:rPr>
          <w:rStyle w:val="Funotenzeichen"/>
          <w:sz w:val="22"/>
          <w:lang w:eastAsia="de-CH"/>
        </w:rPr>
        <w:footnoteReference w:id="45"/>
      </w:r>
      <w:r w:rsidRPr="00CB3FDD">
        <w:rPr>
          <w:sz w:val="22"/>
          <w:lang w:eastAsia="de-CH"/>
        </w:rPr>
        <w:t>, bzw. der Kanton Wallis in seinem Gesetz über die Rechte und die Inklusion von Menschen mit Behinderungen gezeigt.</w:t>
      </w:r>
      <w:r w:rsidRPr="00CB3FDD">
        <w:rPr>
          <w:rStyle w:val="Funotenzeichen"/>
          <w:sz w:val="22"/>
          <w:lang w:eastAsia="de-CH"/>
        </w:rPr>
        <w:footnoteReference w:id="46"/>
      </w:r>
      <w:r w:rsidRPr="00CB3FDD">
        <w:rPr>
          <w:sz w:val="22"/>
          <w:lang w:eastAsia="de-CH"/>
        </w:rPr>
        <w:t xml:space="preserve"> </w:t>
      </w:r>
    </w:p>
    <w:p w14:paraId="54EC1F61" w14:textId="265FB53A" w:rsidR="00CB3FDD" w:rsidRPr="00CB3FDD" w:rsidRDefault="00CB3FDD" w:rsidP="00CB3FDD">
      <w:pPr>
        <w:pStyle w:val="Textkrper"/>
        <w:numPr>
          <w:ilvl w:val="0"/>
          <w:numId w:val="41"/>
        </w:numPr>
        <w:spacing w:line="280" w:lineRule="exact"/>
        <w:jc w:val="both"/>
        <w:rPr>
          <w:sz w:val="22"/>
          <w:lang w:eastAsia="de-CH"/>
        </w:rPr>
      </w:pPr>
      <w:r w:rsidRPr="00CB3FDD">
        <w:rPr>
          <w:sz w:val="22"/>
          <w:lang w:eastAsia="de-CH"/>
        </w:rPr>
        <w:t xml:space="preserve">Die vorgeschlagene Formulierung erscheint vor dem Hintergrund der BRK und der erwähnten kantonalen Beispiele jedoch zu wenig durchdacht. Es fehlt der grundsätzliche Bezug zur Verwirklichung der Rechte von Menschen mit Behinderungen. Zudem ist die Auswahl der neu zu erwähnenden Bereiche nicht nachvollziehbar. Es bleibt schleierhaft, welche Bestimmungen des BehiG, bzw. des VE-BehiG konkret dazu beitragen würden, Menschen mit Behinderungen die freie Wahl ihrer Wohnform tatsächlich zu ermöglichen. Ist es die Bestimmung zu den Wohnbauten nach Art. 3 lit. c BehiG, die unverändert bleibt und somit mit der hohen Schwelle von mehr als 8 Wohnungen weiterhin weitgehend unwirksam bleibt (siehe dazu Ziff. </w:t>
      </w:r>
      <w:r w:rsidRPr="00CB3FDD">
        <w:rPr>
          <w:sz w:val="22"/>
          <w:lang w:eastAsia="de-CH"/>
        </w:rPr>
        <w:fldChar w:fldCharType="begin"/>
      </w:r>
      <w:r w:rsidRPr="00CB3FDD">
        <w:rPr>
          <w:sz w:val="22"/>
          <w:lang w:eastAsia="de-CH"/>
        </w:rPr>
        <w:instrText xml:space="preserve"> REF _Ref161567734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3.2</w:t>
      </w:r>
      <w:r w:rsidRPr="00CB3FDD">
        <w:rPr>
          <w:sz w:val="22"/>
          <w:lang w:eastAsia="de-CH"/>
        </w:rPr>
        <w:fldChar w:fldCharType="end"/>
      </w:r>
      <w:r w:rsidRPr="00CB3FDD">
        <w:rPr>
          <w:sz w:val="22"/>
          <w:lang w:eastAsia="de-CH"/>
        </w:rPr>
        <w:t xml:space="preserve">)? Oder sind es die neuen Vorschläge zum Schutz vor Diskriminierung bei der Inanspruchnahme von Dienstleistungen Privater (siehe dazu insbesondere Ziff. </w:t>
      </w:r>
      <w:r w:rsidRPr="00CB3FDD">
        <w:rPr>
          <w:sz w:val="22"/>
          <w:lang w:eastAsia="de-CH"/>
        </w:rPr>
        <w:fldChar w:fldCharType="begin"/>
      </w:r>
      <w:r w:rsidRPr="00CB3FDD">
        <w:rPr>
          <w:sz w:val="22"/>
          <w:lang w:eastAsia="de-CH"/>
        </w:rPr>
        <w:instrText xml:space="preserve"> REF _Ref161560698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4.2</w:t>
      </w:r>
      <w:r w:rsidRPr="00CB3FDD">
        <w:rPr>
          <w:sz w:val="22"/>
          <w:lang w:eastAsia="de-CH"/>
        </w:rPr>
        <w:fldChar w:fldCharType="end"/>
      </w:r>
      <w:r w:rsidRPr="00CB3FDD">
        <w:rPr>
          <w:sz w:val="22"/>
          <w:lang w:eastAsia="de-CH"/>
        </w:rPr>
        <w:t xml:space="preserve">)? Und wieso wird der Zugang zu den Dienstleistungen als Ziel neu ausdrücklich erwähnt (bereits das geltende BehiG erfasst Dienstleistungen, auch von Privaten), nicht aber der Zugang zum ÖV und zu Bauten? </w:t>
      </w:r>
    </w:p>
    <w:p w14:paraId="017CB4C4"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b/>
          <w:sz w:val="22"/>
          <w:lang w:eastAsia="de-CH"/>
        </w:rPr>
      </w:pPr>
      <w:r w:rsidRPr="00CB3FDD">
        <w:rPr>
          <w:b/>
          <w:sz w:val="22"/>
          <w:lang w:eastAsia="de-CH"/>
        </w:rPr>
        <w:t>Anpassungsvorschlag</w:t>
      </w:r>
    </w:p>
    <w:p w14:paraId="282F8597"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Art. 1 Zweck</w:t>
      </w:r>
    </w:p>
    <w:p w14:paraId="4224C926"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 xml:space="preserve">Zweck dieses Gesetzes ist es, die Rechte von Menschen mit Behinderungen in allen Lebensbereichen zu verwirklichen, insbesondere: </w:t>
      </w:r>
    </w:p>
    <w:p w14:paraId="18458D3D" w14:textId="77FD4A0E"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lastRenderedPageBreak/>
        <w:t>a)</w:t>
      </w:r>
      <w:r w:rsidRPr="00CB3FDD">
        <w:rPr>
          <w:sz w:val="22"/>
          <w:lang w:eastAsia="de-CH"/>
        </w:rPr>
        <w:tab/>
        <w:t xml:space="preserve">ihre rechtliche Gleichstellung zu gewährleisten und ihre tatsächliche Gleichstellung zu fördern; sie sollen insbesondere vor jeglicher Form von Diskriminierung [siehe zur Begrifflichkeit Ziff. </w:t>
      </w:r>
      <w:r w:rsidRPr="00CB3FDD">
        <w:rPr>
          <w:sz w:val="22"/>
          <w:lang w:eastAsia="de-CH"/>
        </w:rPr>
        <w:fldChar w:fldCharType="begin"/>
      </w:r>
      <w:r w:rsidRPr="00CB3FDD">
        <w:rPr>
          <w:sz w:val="22"/>
          <w:lang w:eastAsia="de-CH"/>
        </w:rPr>
        <w:instrText xml:space="preserve"> REF _Ref161560698 \r \h  \* MERGEFORMAT </w:instrText>
      </w:r>
      <w:r w:rsidRPr="00CB3FDD">
        <w:rPr>
          <w:sz w:val="22"/>
          <w:lang w:eastAsia="de-CH"/>
        </w:rPr>
      </w:r>
      <w:r w:rsidRPr="00CB3FDD">
        <w:rPr>
          <w:sz w:val="22"/>
          <w:lang w:eastAsia="de-CH"/>
        </w:rPr>
        <w:fldChar w:fldCharType="separate"/>
      </w:r>
      <w:r w:rsidR="00663FF0">
        <w:rPr>
          <w:sz w:val="22"/>
          <w:lang w:eastAsia="de-CH"/>
        </w:rPr>
        <w:t>4.2</w:t>
      </w:r>
      <w:r w:rsidRPr="00CB3FDD">
        <w:rPr>
          <w:sz w:val="22"/>
          <w:lang w:eastAsia="de-CH"/>
        </w:rPr>
        <w:fldChar w:fldCharType="end"/>
      </w:r>
      <w:r w:rsidRPr="00CB3FDD">
        <w:rPr>
          <w:sz w:val="22"/>
          <w:lang w:eastAsia="de-CH"/>
        </w:rPr>
        <w:t>] geschützt werden.</w:t>
      </w:r>
    </w:p>
    <w:p w14:paraId="3F481176"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b)</w:t>
      </w:r>
      <w:r w:rsidRPr="00CB3FDD">
        <w:rPr>
          <w:sz w:val="22"/>
          <w:lang w:eastAsia="de-CH"/>
        </w:rPr>
        <w:tab/>
        <w:t>sie in die Lage versetzen, ein selbstbestimmtes Leben zu führen, die Verantwortung dafür zu übernehmen und ihre Inklusion in die Gesellschaft zu fördern.</w:t>
      </w:r>
    </w:p>
    <w:p w14:paraId="4AD2AD77"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c)</w:t>
      </w:r>
      <w:r w:rsidRPr="00CB3FDD">
        <w:rPr>
          <w:sz w:val="22"/>
          <w:lang w:eastAsia="de-CH"/>
        </w:rPr>
        <w:tab/>
        <w:t>(die Anerkennung und Förderung der Schweizer Gebärdensprachen einzuführen.)</w:t>
      </w:r>
      <w:r w:rsidRPr="00CB3FDD">
        <w:rPr>
          <w:rStyle w:val="Funotenzeichen"/>
          <w:sz w:val="22"/>
          <w:lang w:eastAsia="de-CH"/>
        </w:rPr>
        <w:footnoteReference w:id="47"/>
      </w:r>
    </w:p>
    <w:p w14:paraId="0F5580A8"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lang w:eastAsia="de-CH"/>
        </w:rPr>
        <w:t>Art. 1a Gegenstand</w:t>
      </w:r>
      <w:r w:rsidRPr="00CB3FDD">
        <w:rPr>
          <w:rStyle w:val="Funotenzeichen"/>
          <w:sz w:val="22"/>
          <w:lang w:eastAsia="de-CH"/>
        </w:rPr>
        <w:footnoteReference w:id="48"/>
      </w:r>
    </w:p>
    <w:p w14:paraId="5E355903"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vertAlign w:val="superscript"/>
          <w:lang w:eastAsia="de-CH"/>
        </w:rPr>
        <w:t>1</w:t>
      </w:r>
      <w:r w:rsidRPr="00CB3FDD">
        <w:rPr>
          <w:sz w:val="22"/>
          <w:lang w:eastAsia="de-CH"/>
        </w:rPr>
        <w:t xml:space="preserve"> Dieses Gesetz enthält materielle Grundsätze, subjektive Rechte, Verfahrensbestimmungen, Bestimmungen über objektivrechtliche Verpflichtungen zur Gleichstellung und Inklusion von Menschen mit Behinderungen (sowie Bestimmungen zur Anerkennung und Förderung der Gebärdensprache).</w:t>
      </w:r>
    </w:p>
    <w:p w14:paraId="3FA4B9D5"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rPr>
          <w:sz w:val="22"/>
          <w:lang w:eastAsia="de-CH"/>
        </w:rPr>
      </w:pPr>
      <w:r w:rsidRPr="00CB3FDD">
        <w:rPr>
          <w:sz w:val="22"/>
          <w:vertAlign w:val="superscript"/>
          <w:lang w:eastAsia="de-CH"/>
        </w:rPr>
        <w:t>2</w:t>
      </w:r>
      <w:r w:rsidRPr="00CB3FDD">
        <w:rPr>
          <w:sz w:val="22"/>
          <w:lang w:eastAsia="de-CH"/>
        </w:rPr>
        <w:t>Es wird von der übrigen Bundesgesetzgebung für die jeweiligen Lebensbereiche mit spezifischen Bestimmungen ergänzt und konkretisiert. Diese sind im Sinne des vorliegenden Gesetzes auszulegen.</w:t>
      </w:r>
    </w:p>
    <w:p w14:paraId="2D79EFE1" w14:textId="77777777" w:rsidR="00CB3FDD" w:rsidRPr="00CB3FDD" w:rsidRDefault="00CB3FDD" w:rsidP="00CB3FDD">
      <w:pPr>
        <w:pStyle w:val="berschrift2"/>
        <w:rPr>
          <w:sz w:val="22"/>
          <w:szCs w:val="22"/>
          <w:lang w:eastAsia="de-CH"/>
        </w:rPr>
      </w:pPr>
      <w:bookmarkStart w:id="92" w:name="_Toc161749167"/>
      <w:r w:rsidRPr="00CB3FDD">
        <w:rPr>
          <w:sz w:val="22"/>
          <w:szCs w:val="22"/>
        </w:rPr>
        <w:t>Artikel 2</w:t>
      </w:r>
      <w:bookmarkEnd w:id="92"/>
      <w:r w:rsidRPr="00CB3FDD">
        <w:rPr>
          <w:sz w:val="22"/>
          <w:szCs w:val="22"/>
        </w:rPr>
        <w:t xml:space="preserve"> </w:t>
      </w:r>
    </w:p>
    <w:p w14:paraId="39F459DD" w14:textId="1A24081D" w:rsidR="00CB3FDD" w:rsidRPr="00CB3FDD" w:rsidRDefault="00CB3FDD" w:rsidP="00CB3FDD">
      <w:pPr>
        <w:pStyle w:val="Textkrper"/>
        <w:rPr>
          <w:sz w:val="22"/>
          <w:lang w:eastAsia="de-CH"/>
        </w:rPr>
      </w:pPr>
      <w:r w:rsidRPr="00CB3FDD">
        <w:rPr>
          <w:sz w:val="22"/>
          <w:lang w:eastAsia="de-CH"/>
        </w:rPr>
        <w:t xml:space="preserve">Nach VE-BehiG soll der Begriff «Menschen mit Behinderung» angepasst werden (Abs. 1). Zudem soll neu das Konzept der angemessenen Vorkehrung aufgenommen und definiert werden (Abs. 6). Im Gegensatz dazu soll der Begriff der Benachteiligung (Art. 2 Abs. 2-5) unverändert bestehen, derjenige der Diskriminierung weiterhin im Gesetz nicht definiert sein. Das Aufrechterhalten dieser doppelspurigen Begrifflichkeit gehört zu den gröbsten Mängeln des Vorentwurfs (Siehe dazu eingehend Ziff. </w:t>
      </w:r>
      <w:r w:rsidRPr="00CB3FDD">
        <w:rPr>
          <w:sz w:val="22"/>
          <w:lang w:eastAsia="de-CH"/>
        </w:rPr>
        <w:fldChar w:fldCharType="begin"/>
      </w:r>
      <w:r w:rsidRPr="00CB3FDD">
        <w:rPr>
          <w:sz w:val="22"/>
          <w:lang w:eastAsia="de-CH"/>
        </w:rPr>
        <w:instrText xml:space="preserve"> REF _Ref161560698 \r \h  \* MERGEFORMAT </w:instrText>
      </w:r>
      <w:r w:rsidRPr="00CB3FDD">
        <w:rPr>
          <w:sz w:val="22"/>
          <w:lang w:eastAsia="de-CH"/>
        </w:rPr>
      </w:r>
      <w:r w:rsidRPr="00CB3FDD">
        <w:rPr>
          <w:sz w:val="22"/>
          <w:lang w:eastAsia="de-CH"/>
        </w:rPr>
        <w:fldChar w:fldCharType="separate"/>
      </w:r>
      <w:r w:rsidR="00663FF0">
        <w:rPr>
          <w:sz w:val="22"/>
          <w:lang w:eastAsia="de-CH"/>
        </w:rPr>
        <w:t>4.2</w:t>
      </w:r>
      <w:r w:rsidRPr="00CB3FDD">
        <w:rPr>
          <w:sz w:val="22"/>
          <w:lang w:eastAsia="de-CH"/>
        </w:rPr>
        <w:fldChar w:fldCharType="end"/>
      </w:r>
      <w:r w:rsidRPr="00CB3FDD">
        <w:rPr>
          <w:sz w:val="22"/>
          <w:lang w:eastAsia="de-CH"/>
        </w:rPr>
        <w:t>). Nachfolgend wird lediglich auf die vorgeschlagenen Abs. 1 und 6 eingegangen.</w:t>
      </w:r>
    </w:p>
    <w:p w14:paraId="6E2845EE" w14:textId="77777777" w:rsidR="00CB3FDD" w:rsidRPr="00CB3FDD" w:rsidRDefault="00CB3FDD" w:rsidP="00CB3FDD">
      <w:pPr>
        <w:pStyle w:val="berschrift3"/>
        <w:rPr>
          <w:szCs w:val="22"/>
          <w:lang w:eastAsia="de-CH"/>
        </w:rPr>
      </w:pPr>
      <w:bookmarkStart w:id="93" w:name="_Toc161749168"/>
      <w:r w:rsidRPr="00CB3FDD">
        <w:rPr>
          <w:szCs w:val="22"/>
        </w:rPr>
        <w:t>Absatz 1</w:t>
      </w:r>
      <w:bookmarkEnd w:id="93"/>
    </w:p>
    <w:p w14:paraId="1A0FA2B7" w14:textId="77777777" w:rsidR="00CB3FDD" w:rsidRPr="00CB3FDD" w:rsidRDefault="00CB3FDD" w:rsidP="00CB3FDD">
      <w:pPr>
        <w:pStyle w:val="Textkrper"/>
        <w:rPr>
          <w:sz w:val="22"/>
          <w:lang w:eastAsia="de-CH"/>
        </w:rPr>
      </w:pPr>
      <w:r w:rsidRPr="00CB3FDD">
        <w:rPr>
          <w:sz w:val="22"/>
          <w:lang w:eastAsia="de-CH"/>
        </w:rPr>
        <w:t>Gemäss Erläuterungen zum VE-BehiG</w:t>
      </w:r>
      <w:r w:rsidRPr="00CB3FDD">
        <w:rPr>
          <w:rStyle w:val="Funotenzeichen"/>
          <w:sz w:val="22"/>
          <w:lang w:eastAsia="de-CH"/>
        </w:rPr>
        <w:footnoteReference w:id="49"/>
      </w:r>
      <w:r w:rsidRPr="00CB3FDD">
        <w:rPr>
          <w:sz w:val="22"/>
          <w:lang w:eastAsia="de-CH"/>
        </w:rPr>
        <w:t xml:space="preserve"> soll Art. 1 Abs. 2 die Definition von Mensch mit Behinderungen geändert und an die Definition der UNO-BRK angeglichen werden. Die neue Definition soll «die Wechselwirkung zwischen den persönlichen Voraussetzungen der Person mit Behinderungen und den Barrieren in ihrer Umwelt» genauer zum Ausdruck bringen.</w:t>
      </w:r>
      <w:r w:rsidRPr="00CB3FDD">
        <w:rPr>
          <w:rStyle w:val="Funotenzeichen"/>
          <w:sz w:val="22"/>
          <w:lang w:eastAsia="de-CH"/>
        </w:rPr>
        <w:footnoteReference w:id="50"/>
      </w:r>
      <w:r w:rsidRPr="00CB3FDD">
        <w:rPr>
          <w:sz w:val="22"/>
          <w:lang w:eastAsia="de-CH"/>
        </w:rPr>
        <w:t xml:space="preserve"> Die Anpassung ist grundsätzlich zu befürworten, mit folgenden Bemerkungen: </w:t>
      </w:r>
    </w:p>
    <w:p w14:paraId="64E205A5" w14:textId="77777777" w:rsidR="00CB3FDD" w:rsidRPr="00CB3FDD" w:rsidRDefault="00CB3FDD" w:rsidP="00CB3FDD">
      <w:pPr>
        <w:pStyle w:val="Textkrper"/>
        <w:numPr>
          <w:ilvl w:val="0"/>
          <w:numId w:val="41"/>
        </w:numPr>
        <w:spacing w:line="280" w:lineRule="exact"/>
        <w:jc w:val="both"/>
        <w:rPr>
          <w:sz w:val="22"/>
          <w:lang w:eastAsia="de-CH"/>
        </w:rPr>
      </w:pPr>
      <w:r w:rsidRPr="00CB3FDD">
        <w:rPr>
          <w:sz w:val="22"/>
          <w:u w:val="single"/>
          <w:lang w:eastAsia="de-CH"/>
        </w:rPr>
        <w:t>Mit Bezug auf die deutsche Fassung</w:t>
      </w:r>
      <w:r w:rsidRPr="00CB3FDD">
        <w:rPr>
          <w:sz w:val="22"/>
          <w:lang w:eastAsia="de-CH"/>
        </w:rPr>
        <w:t>: Neu sollen neben der körperlichen, geistigen und psychischen Behinderung auch die «intellektuelle» sowie die «sensorische» Beeinträchtigung in die bestehende Liste von Artikel 2 Absatz 1 BehiG aufgenommen werden. Was diese Begriffe bedeuten sollen, wird in den Erläuterungen allerdings nicht näher spezifiziert. Somit bleibt die Frage offen, auf welche unterschiedlichen Beeinträchtigungen sich denn die Adjektive «intellektuell» (neu) und «geistig» (bisher), die beide in der vorgeschlagenen Definition enthalten sind, beziehen sollen</w:t>
      </w:r>
      <w:r w:rsidRPr="00CB3FDD">
        <w:rPr>
          <w:rStyle w:val="Funotenzeichen"/>
          <w:sz w:val="22"/>
          <w:lang w:eastAsia="de-CH"/>
        </w:rPr>
        <w:footnoteReference w:id="51"/>
      </w:r>
      <w:r w:rsidRPr="00CB3FDD">
        <w:rPr>
          <w:sz w:val="22"/>
          <w:lang w:eastAsia="de-CH"/>
        </w:rPr>
        <w:t xml:space="preserve">. Ein Pendant </w:t>
      </w:r>
      <w:r w:rsidRPr="00CB3FDD">
        <w:rPr>
          <w:sz w:val="22"/>
          <w:lang w:eastAsia="de-CH"/>
        </w:rPr>
        <w:lastRenderedPageBreak/>
        <w:t>zu diesen «intellektuellen» Behinderungen gibt es im deutschen Wortlaut der BRK jedenfalls nicht. Festzuhalten ist vielmehr, dass die «geistige» Behinderung (BehiG bisher und VE-BehiG) dem von der BRK verwendeten Begriff der «geistigen» Behinderung entspricht. Er bezieht sich insbesondere auf Beeinträchtigungen, die sich auf die Intelligenz einer bestimmten Person auswirken</w:t>
      </w:r>
      <w:r w:rsidRPr="00CB3FDD">
        <w:rPr>
          <w:rStyle w:val="Funotenzeichen"/>
          <w:sz w:val="22"/>
          <w:lang w:eastAsia="de-CH"/>
        </w:rPr>
        <w:footnoteReference w:id="52"/>
      </w:r>
      <w:r w:rsidRPr="00CB3FDD">
        <w:rPr>
          <w:sz w:val="22"/>
          <w:lang w:eastAsia="de-CH"/>
        </w:rPr>
        <w:t xml:space="preserve">. Der Begriff der psychischen Behinderung (BehiG bisher und VE-BehiG) entspricht dem Begriff der «seelischen» Beeinträchtigung gemäss BRK. Er ist in einem weiten Sinne zu verstehen und schliesst unter anderem neurotische, psychotische und andere psychologische Störungen ein, wie zum Beispiel solche, die durch eine Schädigung des Gehirns verursacht werden können. Der Begriff «sensorische Beeinträchtigung» (BRK: «Sinnesbeeinträchtigungen») bezieht sich insbesondere auf Bedingungen, die sich auf das Seh-, Hör- oder Sprachvermögen auswirken. </w:t>
      </w:r>
    </w:p>
    <w:p w14:paraId="4DFF6980" w14:textId="77777777" w:rsidR="00CB3FDD" w:rsidRPr="00CB3FDD" w:rsidRDefault="00CB3FDD" w:rsidP="00CB3FDD">
      <w:pPr>
        <w:pStyle w:val="Textkrper"/>
        <w:ind w:left="720"/>
        <w:rPr>
          <w:sz w:val="22"/>
          <w:lang w:eastAsia="de-CH"/>
        </w:rPr>
      </w:pPr>
      <w:r w:rsidRPr="00CB3FDD">
        <w:rPr>
          <w:sz w:val="22"/>
          <w:lang w:eastAsia="de-CH"/>
        </w:rPr>
        <w:t>Grundsätzlich dient die Bildung von Kategorien der Konkretisierung des Behinderungsbegriffs, sie entspricht auch der BRK. In der Botschaft zum BehiG-Entwurf müsste allerdings klar festgehalten werden, dass die Grenzen zwischen diesen Kategorien fliessend sind. So sind zum Beispiel jenseits der Frage, ob sie eher körperlicher, psychischer oder sensorischer Natur sind, Konditionen wie Autismus oder Legasthenie eindeutig Behinderungen im Sinne des BehiG. Darüber hinaus müsste die Botschaft klären, dass die Frage nach dem Ursprung der Behinderung - z. B. Geburt, genetische Veranlagung oder Unfall - für die Definition von Behinderung gemäss BehiG nicht relevant ist. Der Begriff umfasst somit insbesondere auch Menschen mit altersbedingten Behinderungen.</w:t>
      </w:r>
    </w:p>
    <w:p w14:paraId="5A7F362E" w14:textId="77777777" w:rsidR="00CB3FDD" w:rsidRPr="00CB3FDD" w:rsidRDefault="00CB3FDD" w:rsidP="00CB3FDD">
      <w:pPr>
        <w:pStyle w:val="Textkrper"/>
        <w:numPr>
          <w:ilvl w:val="0"/>
          <w:numId w:val="41"/>
        </w:numPr>
        <w:spacing w:line="280" w:lineRule="exact"/>
        <w:jc w:val="both"/>
        <w:rPr>
          <w:sz w:val="22"/>
          <w:lang w:eastAsia="de-CH"/>
        </w:rPr>
      </w:pPr>
      <w:r w:rsidRPr="00CB3FDD">
        <w:rPr>
          <w:sz w:val="22"/>
          <w:u w:val="single"/>
          <w:lang w:eastAsia="de-CH"/>
        </w:rPr>
        <w:t>Mit Bezug auf die französische Fassung</w:t>
      </w:r>
      <w:r w:rsidRPr="00CB3FDD">
        <w:rPr>
          <w:sz w:val="22"/>
          <w:lang w:eastAsia="de-CH"/>
        </w:rPr>
        <w:t>: Die vorgeschlagenen Adjektive sind «physique» (soll «corporel» gemäss BehiG bisher ersetzen zwecks Vereinheitlichung mit BRK), «mentale» (BehiG bisher), «psychique» (BehiG bisher), intellectuelle (VE-BehiG) ou sensorielle (VE-BehiG). «Intellectuel» wird auch in Art. 1 Abs. 2 BRK verwendet. Allerdings im Sinne von «geistiger» Beeinträchtigung, bzw. handicap «mental» gemäss BehiG bisher und VE-BehiG (siehe dazu deutsche Fassung). Mit «mental» meint die BRK «psychique». Mit den bisher verwendeten Begriffen «psychique» und «mental» erfasst das BehiG bereits heute die Kategorien «mental» und «intellectuel» gemäss BRK. Es bleibt somit auch in dieser Sprachversion schleierhaft, worauf sich der Begriff «intellectuel» beziehen soll.</w:t>
      </w:r>
    </w:p>
    <w:p w14:paraId="5D4E6504" w14:textId="77777777" w:rsidR="00CB3FDD" w:rsidRPr="00CB3FDD" w:rsidRDefault="00CB3FDD" w:rsidP="00CB3FDD">
      <w:pPr>
        <w:pStyle w:val="Textkrper"/>
        <w:numPr>
          <w:ilvl w:val="0"/>
          <w:numId w:val="41"/>
        </w:numPr>
        <w:spacing w:line="280" w:lineRule="exact"/>
        <w:jc w:val="both"/>
        <w:rPr>
          <w:sz w:val="22"/>
          <w:lang w:val="fr-CH" w:eastAsia="de-CH"/>
        </w:rPr>
      </w:pPr>
      <w:r w:rsidRPr="00CB3FDD">
        <w:rPr>
          <w:sz w:val="22"/>
          <w:lang w:eastAsia="de-CH"/>
        </w:rPr>
        <w:t xml:space="preserve">Ein letzter Hinweis bezieht sich auf die Erläuterungen: Im Kern der Umschreibung von Behinderung nach Art. 1 Abs. 2 BRK steht die Erkenntnis, dass Behinderung nicht gleich zu verstehen ist wie eine individuelle Beeinträchtigung. Behinderung entsteht gemäss BRK vielmehr dann, wenn diese individuelle Beeinträchtigung auf eine Gesellschaft trifft, die nicht inklusiv ist, und entsprechend für Personen mit Beeinträchtigungen zahlreiche Barrieren aufweist, die sie an einer autonomen sowie gleichberechtigten gesellschaftlichen Teilhabe hindern. Individuelle Beeinträchtigung, gesellschaftlichen Barrieren sowie die Auswirkungen ihres Zusammentreffens sind die Elemente des Behinderungsbegriffs nach Art. 1 Abs. 2 BRK. Vor diesem Hintergrund ist folgende Äusserung in den Erläuterungen auf d nicht nachvollziehbar, bzw. falsch: «Je nachdem, </w:t>
      </w:r>
      <w:r w:rsidRPr="00CB3FDD">
        <w:rPr>
          <w:sz w:val="22"/>
          <w:lang w:eastAsia="de-CH"/>
        </w:rPr>
        <w:lastRenderedPageBreak/>
        <w:t xml:space="preserve">wie wichtig die Teilhabe bei der Ausübung von Rechten ist, gilt es im Übrigen als Beeinträchtigung, wenn Menschen mit Behinderungen daran gehindert werden, gleichberechtigt mit anderen voll und wirksam an der Gesellschaft teilzuhaben. » </w:t>
      </w:r>
      <w:r w:rsidRPr="00CB3FDD">
        <w:rPr>
          <w:sz w:val="22"/>
          <w:lang w:val="fr-CH" w:eastAsia="de-CH"/>
        </w:rPr>
        <w:t xml:space="preserve">(Version d, S. 21). Die französische Version kommt hier dem BRK-Verständnis näher : « Au demeurant, vu l’importance que revêt la participation dans l’exercice des droits, le fait d’être empêché de participer pleinement et effectivement à la société sur la base de l’égalité avec les autres est constitutif du handicap » (Version f, S. 21). </w:t>
      </w:r>
    </w:p>
    <w:p w14:paraId="23863048"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b/>
          <w:sz w:val="22"/>
          <w:lang w:eastAsia="de-CH"/>
        </w:rPr>
      </w:pPr>
      <w:r w:rsidRPr="00CB3FDD">
        <w:rPr>
          <w:b/>
          <w:sz w:val="22"/>
          <w:lang w:eastAsia="de-CH"/>
        </w:rPr>
        <w:t>Anpassungsvorschlag</w:t>
      </w:r>
    </w:p>
    <w:p w14:paraId="6DF70E39"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Art. 2, Abs. 1</w:t>
      </w:r>
    </w:p>
    <w:p w14:paraId="39E99944"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In diesem Gesetz bedeutet Mensch mit Behinderungen eine Person, die voraussichtlich langfristige körperliche, geistige, psychische</w:t>
      </w:r>
      <w:r w:rsidRPr="00CB3FDD">
        <w:rPr>
          <w:strike/>
          <w:sz w:val="22"/>
          <w:lang w:eastAsia="de-CH"/>
        </w:rPr>
        <w:t>, intellektuelle</w:t>
      </w:r>
      <w:r w:rsidRPr="00CB3FDD">
        <w:rPr>
          <w:sz w:val="22"/>
          <w:lang w:eastAsia="de-CH"/>
        </w:rPr>
        <w:t xml:space="preserve"> oder sensorische Beeinträchtigungen hat, welche sie aufgrund bestehender Barrieren an der vollen, wirksamen und gleichberechtigten Teilhabe an der Gemeinschaft hindern.</w:t>
      </w:r>
    </w:p>
    <w:p w14:paraId="51A9A995" w14:textId="77777777" w:rsidR="00CB3FDD" w:rsidRPr="00CB3FDD" w:rsidRDefault="00CB3FDD" w:rsidP="00CB3FDD">
      <w:pPr>
        <w:pStyle w:val="berschrift3"/>
        <w:rPr>
          <w:szCs w:val="22"/>
          <w:lang w:eastAsia="de-CH"/>
        </w:rPr>
      </w:pPr>
      <w:bookmarkStart w:id="94" w:name="_Toc161749169"/>
      <w:r w:rsidRPr="00CB3FDD">
        <w:rPr>
          <w:szCs w:val="22"/>
        </w:rPr>
        <w:t>Absatz 6</w:t>
      </w:r>
      <w:bookmarkEnd w:id="94"/>
    </w:p>
    <w:p w14:paraId="74DB97D6" w14:textId="77777777" w:rsidR="00CB3FDD" w:rsidRPr="00CB3FDD" w:rsidRDefault="00CB3FDD" w:rsidP="00CB3FDD">
      <w:pPr>
        <w:pStyle w:val="Listenabsatz"/>
        <w:rPr>
          <w:szCs w:val="22"/>
          <w:lang w:eastAsia="de-CH"/>
        </w:rPr>
      </w:pPr>
      <w:r w:rsidRPr="00CB3FDD">
        <w:rPr>
          <w:szCs w:val="22"/>
          <w:lang w:eastAsia="de-CH"/>
        </w:rPr>
        <w:t xml:space="preserve">Die BRK definiert den Begriff der Diskriminierung in Art. 2 Abs. 3. Sie hält ausdrücklich fest. Demnach sind alle Formen der Diskriminierung umfasst, einschliesslich der «Versagung angemessener Vorkehrungen». Gemäss Art. 2 Abs. 4 sind «angemessene Vorkehrungen» «notwendige und geeignete Änderungen und Anpassungen, die keine unverhältnismässige oder unbillige Belastung darstellen und die, wenn sie in einem bestimmten Fall erforderlich sind, vorgenommen werden, um zu gewährleisten, dass Menschen mit Behinderungen gleichberechtigt mit anderen alle Menschenrechte und Grundfreiheiten geniessen oder ausüben können». </w:t>
      </w:r>
    </w:p>
    <w:p w14:paraId="275CDD5C" w14:textId="77777777" w:rsidR="00CB3FDD" w:rsidRPr="00CB3FDD" w:rsidRDefault="00CB3FDD" w:rsidP="00CB3FDD">
      <w:pPr>
        <w:pStyle w:val="Listenabsatz"/>
        <w:rPr>
          <w:szCs w:val="22"/>
          <w:lang w:eastAsia="de-CH"/>
        </w:rPr>
      </w:pPr>
      <w:r w:rsidRPr="00CB3FDD">
        <w:rPr>
          <w:szCs w:val="22"/>
          <w:lang w:eastAsia="de-CH"/>
        </w:rPr>
        <w:t>Der Begriff «</w:t>
      </w:r>
      <w:r w:rsidRPr="00CB3FDD">
        <w:rPr>
          <w:b/>
          <w:szCs w:val="22"/>
          <w:lang w:eastAsia="de-CH"/>
        </w:rPr>
        <w:t>angemessen</w:t>
      </w:r>
      <w:r w:rsidRPr="00CB3FDD">
        <w:rPr>
          <w:szCs w:val="22"/>
          <w:lang w:eastAsia="de-CH"/>
        </w:rPr>
        <w:t xml:space="preserve">» ist demnach als «geeignet» im Sinne von «der Person und der konkreten Situation angemessen» zu verstehen. Gemäss dem BRK-Ausschuss beurteilt sich die «Angemessenheit» der Vorkehrungen nach einer Prüfung des Umfelds, d. h. einer </w:t>
      </w:r>
      <w:r w:rsidRPr="00CB3FDD">
        <w:rPr>
          <w:b/>
          <w:szCs w:val="22"/>
          <w:lang w:eastAsia="de-CH"/>
        </w:rPr>
        <w:t>Analyse der Relevanz und Wirksamkeit der Vorkehrungen und des Ziels der Beseitigung einer Diskriminierung im Einzelfall</w:t>
      </w:r>
      <w:r w:rsidRPr="00CB3FDD">
        <w:rPr>
          <w:rStyle w:val="Funotenzeichen"/>
          <w:szCs w:val="22"/>
        </w:rPr>
        <w:footnoteReference w:id="53"/>
      </w:r>
      <w:r w:rsidRPr="00CB3FDD">
        <w:rPr>
          <w:szCs w:val="22"/>
          <w:lang w:eastAsia="de-CH"/>
        </w:rPr>
        <w:t xml:space="preserve">. Angemessene Vorkehrungen setzen voraus, dass ein Dialog mit der Person mit Behinderung aufgenommen wird. Die Massnahmen müssen in enger Zusammenarbeit mit der Person mit Behinderung entwickelt werden. Dies entspricht einem menschenrechtsbasierten Verständnis von Behinderung –  im Gegensatz zu einem medizinischen oder karitativen Verständnis von Behinderung. Nachdem die Eignung der Vorkehrungen für den konkreten Fall – ihre Angemessenheit – überprüft wurde, muss in einem zweiten Schritt die Verhältnismässigkeit geprüft werden. </w:t>
      </w:r>
      <w:r w:rsidRPr="00CB3FDD">
        <w:rPr>
          <w:b/>
          <w:szCs w:val="22"/>
          <w:lang w:eastAsia="de-CH"/>
        </w:rPr>
        <w:t>Art. 2 Abs. 4 BRK drückt diese Verhältnismässigkeitsprüfung durch die Formulierung «keine unverhältnismässige oder unbillige Belastung» aus</w:t>
      </w:r>
      <w:r w:rsidRPr="00CB3FDD">
        <w:rPr>
          <w:szCs w:val="22"/>
          <w:lang w:eastAsia="de-CH"/>
        </w:rPr>
        <w:t xml:space="preserve">. Wichtig: </w:t>
      </w:r>
      <w:r w:rsidRPr="00CB3FDD">
        <w:rPr>
          <w:b/>
          <w:szCs w:val="22"/>
          <w:lang w:eastAsia="de-CH"/>
        </w:rPr>
        <w:t>Die BRK enthält neben diesen Verweis auf die Verhältnismässigkeit in Art. 2 Abs. 4 sonst keine Verhältnismässigkeitsklausel.</w:t>
      </w:r>
    </w:p>
    <w:p w14:paraId="30A4EC90" w14:textId="11D3F645" w:rsidR="00CB3FDD" w:rsidRPr="00CB3FDD" w:rsidRDefault="00CB3FDD" w:rsidP="00CB3FDD">
      <w:pPr>
        <w:pStyle w:val="Listenabsatz"/>
        <w:rPr>
          <w:szCs w:val="22"/>
          <w:lang w:eastAsia="de-CH"/>
        </w:rPr>
      </w:pPr>
      <w:r w:rsidRPr="00CB3FDD">
        <w:rPr>
          <w:szCs w:val="22"/>
          <w:lang w:eastAsia="de-CH"/>
        </w:rPr>
        <w:t>Nun soll gemäss dem Vorentwurf auch das BehiG den Begriff der angemessenen Vorkehrung aufnehmen</w:t>
      </w:r>
      <w:r w:rsidRPr="00CB3FDD">
        <w:rPr>
          <w:rStyle w:val="Funotenzeichen"/>
          <w:szCs w:val="22"/>
        </w:rPr>
        <w:footnoteReference w:id="54"/>
      </w:r>
      <w:r w:rsidRPr="00CB3FDD">
        <w:rPr>
          <w:szCs w:val="22"/>
          <w:lang w:eastAsia="de-CH"/>
        </w:rPr>
        <w:t xml:space="preserve"> und definieren (siehe dazu bereits Ziff. </w:t>
      </w:r>
      <w:r w:rsidRPr="00CB3FDD">
        <w:rPr>
          <w:szCs w:val="22"/>
          <w:lang w:eastAsia="de-CH"/>
        </w:rPr>
        <w:fldChar w:fldCharType="begin"/>
      </w:r>
      <w:r w:rsidRPr="00CB3FDD">
        <w:rPr>
          <w:szCs w:val="22"/>
          <w:lang w:eastAsia="de-CH"/>
        </w:rPr>
        <w:instrText xml:space="preserve"> REF _Ref161652603 \r \h </w:instrText>
      </w:r>
      <w:r>
        <w:rPr>
          <w:szCs w:val="22"/>
          <w:lang w:eastAsia="de-CH"/>
        </w:rPr>
        <w:instrText xml:space="preserve"> \* MERGEFORMAT </w:instrText>
      </w:r>
      <w:r w:rsidRPr="00CB3FDD">
        <w:rPr>
          <w:szCs w:val="22"/>
          <w:lang w:eastAsia="de-CH"/>
        </w:rPr>
      </w:r>
      <w:r w:rsidRPr="00CB3FDD">
        <w:rPr>
          <w:szCs w:val="22"/>
          <w:lang w:eastAsia="de-CH"/>
        </w:rPr>
        <w:fldChar w:fldCharType="separate"/>
      </w:r>
      <w:r w:rsidR="00663FF0">
        <w:rPr>
          <w:szCs w:val="22"/>
          <w:lang w:eastAsia="de-CH"/>
        </w:rPr>
        <w:t>4.2.4</w:t>
      </w:r>
      <w:r w:rsidRPr="00CB3FDD">
        <w:rPr>
          <w:szCs w:val="22"/>
          <w:lang w:eastAsia="de-CH"/>
        </w:rPr>
        <w:fldChar w:fldCharType="end"/>
      </w:r>
      <w:r w:rsidRPr="00CB3FDD">
        <w:rPr>
          <w:szCs w:val="22"/>
          <w:lang w:eastAsia="de-CH"/>
        </w:rPr>
        <w:t xml:space="preserve">). </w:t>
      </w:r>
      <w:r w:rsidRPr="00CB3FDD">
        <w:rPr>
          <w:b/>
          <w:szCs w:val="22"/>
          <w:lang w:eastAsia="de-CH"/>
        </w:rPr>
        <w:t>An sich ist die Aufnahme der Definition sinnvoll</w:t>
      </w:r>
      <w:r w:rsidRPr="00CB3FDD">
        <w:rPr>
          <w:i/>
          <w:szCs w:val="22"/>
          <w:lang w:eastAsia="de-CH"/>
        </w:rPr>
        <w:t xml:space="preserve"> </w:t>
      </w:r>
      <w:r w:rsidRPr="00CB3FDD">
        <w:rPr>
          <w:b/>
          <w:szCs w:val="22"/>
          <w:lang w:eastAsia="de-CH"/>
        </w:rPr>
        <w:t>und sehr begrüssenswert</w:t>
      </w:r>
      <w:r w:rsidRPr="00CB3FDD">
        <w:rPr>
          <w:szCs w:val="22"/>
          <w:lang w:eastAsia="de-CH"/>
        </w:rPr>
        <w:t xml:space="preserve">. Weil die ganze Systematik des Gesetzes, das Zusammenspiel der einzelnen Bestimmungen </w:t>
      </w:r>
      <w:r w:rsidRPr="00CB3FDD">
        <w:rPr>
          <w:szCs w:val="22"/>
          <w:lang w:eastAsia="de-CH"/>
        </w:rPr>
        <w:lastRenderedPageBreak/>
        <w:t>untereinander, nicht genügend durchdacht worden ist, entsteht jedoch ein Konstrukt, das kaum zu verstehen ist. Es ist unter diesen Umständen unwahrscheinlich, dass die Aufnahme des Konzeptes der «angemessenen Vorkehrung» in das BehiG zu einer tatsächlichen Stärkung des Schutzes von Menschen mit Behinderungen vor Diskriminierung führen wird. Um den Rahmen einer Vernehmlassungsantwort nicht allzu fest zu strapazieren, seien an dieser Stelle lediglich ein paar ungelöste Probleme skizziert.</w:t>
      </w:r>
    </w:p>
    <w:p w14:paraId="4214177F" w14:textId="67A40486" w:rsidR="00CB3FDD" w:rsidRPr="00CB3FDD" w:rsidRDefault="00CB3FDD" w:rsidP="00CB3FDD">
      <w:pPr>
        <w:pStyle w:val="Listenabsatz"/>
        <w:rPr>
          <w:szCs w:val="22"/>
          <w:lang w:eastAsia="de-CH"/>
        </w:rPr>
      </w:pPr>
      <w:r w:rsidRPr="00CB3FDD">
        <w:rPr>
          <w:szCs w:val="22"/>
          <w:lang w:eastAsia="de-CH"/>
        </w:rPr>
        <w:t xml:space="preserve">Der Begriff der Diskriminierung im VE-BehiG wird im Gegensatz zur BRK nicht definiert (dazu bereits eingehen Ziff. </w:t>
      </w:r>
      <w:r w:rsidRPr="00CB3FDD">
        <w:rPr>
          <w:szCs w:val="22"/>
          <w:lang w:eastAsia="de-CH"/>
        </w:rPr>
        <w:fldChar w:fldCharType="begin"/>
      </w:r>
      <w:r w:rsidRPr="00CB3FDD">
        <w:rPr>
          <w:szCs w:val="22"/>
          <w:lang w:eastAsia="de-CH"/>
        </w:rPr>
        <w:instrText xml:space="preserve"> REF _Ref161560698 \r \h </w:instrText>
      </w:r>
      <w:r>
        <w:rPr>
          <w:szCs w:val="22"/>
          <w:lang w:eastAsia="de-CH"/>
        </w:rPr>
        <w:instrText xml:space="preserve"> \* MERGEFORMAT </w:instrText>
      </w:r>
      <w:r w:rsidRPr="00CB3FDD">
        <w:rPr>
          <w:szCs w:val="22"/>
          <w:lang w:eastAsia="de-CH"/>
        </w:rPr>
      </w:r>
      <w:r w:rsidRPr="00CB3FDD">
        <w:rPr>
          <w:szCs w:val="22"/>
          <w:lang w:eastAsia="de-CH"/>
        </w:rPr>
        <w:fldChar w:fldCharType="separate"/>
      </w:r>
      <w:r w:rsidR="00663FF0">
        <w:rPr>
          <w:szCs w:val="22"/>
          <w:lang w:eastAsia="de-CH"/>
        </w:rPr>
        <w:t>4.2</w:t>
      </w:r>
      <w:r w:rsidRPr="00CB3FDD">
        <w:rPr>
          <w:szCs w:val="22"/>
          <w:lang w:eastAsia="de-CH"/>
        </w:rPr>
        <w:fldChar w:fldCharType="end"/>
      </w:r>
      <w:r w:rsidRPr="00CB3FDD">
        <w:rPr>
          <w:szCs w:val="22"/>
          <w:lang w:eastAsia="de-CH"/>
        </w:rPr>
        <w:t xml:space="preserve">). Nur ein Aspekt davon, die «angemessene Vorkehrung», soll umschrieben werden. Der Begriff der Diskriminierung gemäss BRK liegt sehr nahe am Begriff der Benachteiligung gemäss heutigem BehiG (Art. 2 Abs. 2 BehiG). Schon heute kann gestützt auf das BehiG mit Bezug auf Bauten, Anlagen, den ÖV sowie Dienstleistungen des Gemeinwesens sowie von «konzessionierten» Unternehmen verlangt werden, dass die nötigen Anpassungen vorgenommen werden, um eine Benachteiligung zu beseitigen (Art. 2 Abs. 2-5 BehiG, in Verbindung mit Art. 7 und 8 Abs.1 und 2 BehiG). Die Anpassung wird nur vorgenommen, wenn sich diese nicht in einem «Missverhältnis» zu der ihr gegenüberstehenden Interessen befindet (Art. 11 und 12 BehiG). </w:t>
      </w:r>
    </w:p>
    <w:p w14:paraId="17D62C0B" w14:textId="77777777" w:rsidR="00CB3FDD" w:rsidRPr="00CB3FDD" w:rsidRDefault="00CB3FDD" w:rsidP="00CB3FDD">
      <w:pPr>
        <w:pStyle w:val="Listenabsatz"/>
        <w:numPr>
          <w:ilvl w:val="1"/>
          <w:numId w:val="42"/>
        </w:numPr>
        <w:spacing w:before="120" w:after="120" w:line="280" w:lineRule="exact"/>
        <w:contextualSpacing w:val="0"/>
        <w:jc w:val="both"/>
        <w:rPr>
          <w:szCs w:val="22"/>
          <w:lang w:eastAsia="de-CH"/>
        </w:rPr>
      </w:pPr>
      <w:r w:rsidRPr="00CB3FDD">
        <w:rPr>
          <w:szCs w:val="22"/>
          <w:lang w:eastAsia="de-CH"/>
        </w:rPr>
        <w:t>Worin liegt nun der Unterschied zwischen dem bestehenden, soeben geschilderten System, und das neue System mit «angemessenen Vorkehrungen», das allerdings nur für private Arbeitgebende sowie private Anbieter von öffentlich zugänglichen Dienstleistungen gelten soll (Art. 6 Abs. 2 und 6a Abs. 2 VE-BehiG)?</w:t>
      </w:r>
    </w:p>
    <w:p w14:paraId="0E6471B9" w14:textId="77777777" w:rsidR="00CB3FDD" w:rsidRPr="00CB3FDD" w:rsidRDefault="00CB3FDD" w:rsidP="00CB3FDD">
      <w:pPr>
        <w:pStyle w:val="Listenabsatz"/>
        <w:numPr>
          <w:ilvl w:val="1"/>
          <w:numId w:val="42"/>
        </w:numPr>
        <w:spacing w:before="120" w:after="120" w:line="280" w:lineRule="exact"/>
        <w:contextualSpacing w:val="0"/>
        <w:jc w:val="both"/>
        <w:rPr>
          <w:szCs w:val="22"/>
          <w:lang w:eastAsia="de-CH"/>
        </w:rPr>
      </w:pPr>
      <w:r w:rsidRPr="00CB3FDD">
        <w:rPr>
          <w:szCs w:val="22"/>
          <w:lang w:eastAsia="de-CH"/>
        </w:rPr>
        <w:t>Wie spielen die unterschiedlichen Regelungen der Verhältnismässigkeit zusammen? Konkret: Art. 2 Abs. 6 VE-BehiG («keine unzumutbare Belastung»); Art. 11 und 12 BehiG; Art. 12a VE-BehiG?</w:t>
      </w:r>
    </w:p>
    <w:p w14:paraId="3E6B83E0"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b/>
          <w:sz w:val="22"/>
          <w:lang w:eastAsia="de-CH"/>
        </w:rPr>
      </w:pPr>
      <w:r w:rsidRPr="00CB3FDD">
        <w:rPr>
          <w:b/>
          <w:sz w:val="22"/>
          <w:lang w:eastAsia="de-CH"/>
        </w:rPr>
        <w:t>Anpassungsvorschläge</w:t>
      </w:r>
    </w:p>
    <w:p w14:paraId="3DAEEEA9" w14:textId="4E70BF9B" w:rsidR="00CB3FDD" w:rsidRPr="00CB3FDD" w:rsidRDefault="00CB3FDD" w:rsidP="00CB3FDD">
      <w:pPr>
        <w:pStyle w:val="Textkrper"/>
        <w:numPr>
          <w:ilvl w:val="0"/>
          <w:numId w:val="42"/>
        </w:numPr>
        <w:pBdr>
          <w:top w:val="single" w:sz="4" w:space="1" w:color="auto"/>
          <w:left w:val="single" w:sz="4" w:space="4" w:color="auto"/>
          <w:bottom w:val="single" w:sz="4" w:space="1" w:color="auto"/>
          <w:right w:val="single" w:sz="4" w:space="4" w:color="auto"/>
        </w:pBdr>
        <w:shd w:val="clear" w:color="auto" w:fill="FFFFFF" w:themeFill="background1"/>
        <w:spacing w:line="280" w:lineRule="exact"/>
        <w:jc w:val="both"/>
        <w:rPr>
          <w:sz w:val="22"/>
          <w:lang w:eastAsia="de-CH"/>
        </w:rPr>
      </w:pPr>
      <w:r w:rsidRPr="00CB3FDD">
        <w:rPr>
          <w:sz w:val="22"/>
          <w:lang w:eastAsia="de-CH"/>
        </w:rPr>
        <w:t xml:space="preserve">Verzicht auf die parallele Verwendung der Begriffe Benachteiligung/Diskriminierung, bzw. Entscheid für eines der beiden (Ziff. </w:t>
      </w:r>
      <w:r w:rsidRPr="00CB3FDD">
        <w:rPr>
          <w:sz w:val="22"/>
          <w:lang w:eastAsia="de-CH"/>
        </w:rPr>
        <w:fldChar w:fldCharType="begin"/>
      </w:r>
      <w:r w:rsidRPr="00CB3FDD">
        <w:rPr>
          <w:sz w:val="22"/>
          <w:lang w:eastAsia="de-CH"/>
        </w:rPr>
        <w:instrText xml:space="preserve"> REF _Ref161560698 \r \h  \* MERGEFORMAT </w:instrText>
      </w:r>
      <w:r w:rsidRPr="00CB3FDD">
        <w:rPr>
          <w:sz w:val="22"/>
          <w:lang w:eastAsia="de-CH"/>
        </w:rPr>
      </w:r>
      <w:r w:rsidRPr="00CB3FDD">
        <w:rPr>
          <w:sz w:val="22"/>
          <w:lang w:eastAsia="de-CH"/>
        </w:rPr>
        <w:fldChar w:fldCharType="separate"/>
      </w:r>
      <w:r w:rsidR="00663FF0">
        <w:rPr>
          <w:sz w:val="22"/>
          <w:lang w:eastAsia="de-CH"/>
        </w:rPr>
        <w:t>4.2</w:t>
      </w:r>
      <w:r w:rsidRPr="00CB3FDD">
        <w:rPr>
          <w:sz w:val="22"/>
          <w:lang w:eastAsia="de-CH"/>
        </w:rPr>
        <w:fldChar w:fldCharType="end"/>
      </w:r>
      <w:r w:rsidRPr="00CB3FDD">
        <w:rPr>
          <w:sz w:val="22"/>
          <w:lang w:eastAsia="de-CH"/>
        </w:rPr>
        <w:t>). Diesen im Sinne des BRK-Begriffs der Diskriminierung definieren, d.h. inkl. die Verweigerung von angemessenen Vorkehrungen.</w:t>
      </w:r>
    </w:p>
    <w:p w14:paraId="7B068B67" w14:textId="77777777" w:rsidR="00CB3FDD" w:rsidRPr="00CB3FDD" w:rsidRDefault="00CB3FDD" w:rsidP="00CB3FDD">
      <w:pPr>
        <w:pStyle w:val="Textkrper"/>
        <w:numPr>
          <w:ilvl w:val="0"/>
          <w:numId w:val="42"/>
        </w:numPr>
        <w:pBdr>
          <w:top w:val="single" w:sz="4" w:space="1" w:color="auto"/>
          <w:left w:val="single" w:sz="4" w:space="4" w:color="auto"/>
          <w:bottom w:val="single" w:sz="4" w:space="1" w:color="auto"/>
          <w:right w:val="single" w:sz="4" w:space="4" w:color="auto"/>
        </w:pBdr>
        <w:shd w:val="clear" w:color="auto" w:fill="FFFFFF" w:themeFill="background1"/>
        <w:spacing w:line="280" w:lineRule="exact"/>
        <w:jc w:val="both"/>
        <w:rPr>
          <w:sz w:val="22"/>
          <w:lang w:eastAsia="de-CH"/>
        </w:rPr>
      </w:pPr>
      <w:r w:rsidRPr="00CB3FDD">
        <w:rPr>
          <w:sz w:val="22"/>
          <w:lang w:eastAsia="de-CH"/>
        </w:rPr>
        <w:t>Verzicht auf die unnötige Mehrfachverankerung des Grundsatzes der Verhältnismässigkeit.</w:t>
      </w:r>
    </w:p>
    <w:p w14:paraId="451EEF98" w14:textId="77777777" w:rsidR="00CB3FDD" w:rsidRPr="00CB3FDD" w:rsidRDefault="00CB3FDD" w:rsidP="00CB3FDD">
      <w:pPr>
        <w:pStyle w:val="Textkrper"/>
        <w:numPr>
          <w:ilvl w:val="0"/>
          <w:numId w:val="42"/>
        </w:numPr>
        <w:pBdr>
          <w:top w:val="single" w:sz="4" w:space="1" w:color="auto"/>
          <w:left w:val="single" w:sz="4" w:space="4" w:color="auto"/>
          <w:bottom w:val="single" w:sz="4" w:space="1" w:color="auto"/>
          <w:right w:val="single" w:sz="4" w:space="4" w:color="auto"/>
        </w:pBdr>
        <w:shd w:val="clear" w:color="auto" w:fill="FFFFFF" w:themeFill="background1"/>
        <w:spacing w:line="280" w:lineRule="exact"/>
        <w:jc w:val="both"/>
        <w:rPr>
          <w:sz w:val="22"/>
          <w:lang w:eastAsia="de-CH"/>
        </w:rPr>
      </w:pPr>
      <w:r w:rsidRPr="00CB3FDD">
        <w:rPr>
          <w:sz w:val="22"/>
          <w:lang w:eastAsia="de-CH"/>
        </w:rPr>
        <w:t xml:space="preserve">Stattdessen Formulierung </w:t>
      </w:r>
      <w:r w:rsidRPr="00CB3FDD">
        <w:rPr>
          <w:i/>
          <w:sz w:val="22"/>
          <w:lang w:eastAsia="de-CH"/>
        </w:rPr>
        <w:t>einer</w:t>
      </w:r>
      <w:r w:rsidRPr="00CB3FDD">
        <w:rPr>
          <w:sz w:val="22"/>
          <w:lang w:eastAsia="de-CH"/>
        </w:rPr>
        <w:t xml:space="preserve"> Bestimmung, welche den Grundsatz der Verhältnismässigkeit konkretisiert. Diesbezüglich mögliche Anlehnung an das Behindertenrechtegesetz BL. Dessen §7 spezifiziert die Aspekte, welche bei einer Güterabwägung berücksichtigt werden müssen, und zwar mit Bezug auf drei Kategorien von Interessen: öffentliche Interessen, Interessen des Gemeinwesens oder von Privaten; Interessen der betroffenen Person mit Behinderung. Diese </w:t>
      </w:r>
      <w:r w:rsidRPr="00CB3FDD">
        <w:rPr>
          <w:b/>
          <w:sz w:val="22"/>
          <w:lang w:eastAsia="de-CH"/>
        </w:rPr>
        <w:t>Verhältnismässigkeitsregelung findet auch bei der Frage Anwendung, ob eine angemessene Vorkehrung im Einzelfall angeordnet werden muss</w:t>
      </w:r>
      <w:r w:rsidRPr="00CB3FDD">
        <w:rPr>
          <w:sz w:val="22"/>
          <w:lang w:eastAsia="de-CH"/>
        </w:rPr>
        <w:t xml:space="preserve"> oder nicht. </w:t>
      </w:r>
    </w:p>
    <w:p w14:paraId="4EDA79C0" w14:textId="77777777" w:rsidR="00CB3FDD" w:rsidRPr="00CB3FDD" w:rsidRDefault="00CB3FDD" w:rsidP="00CB3FDD">
      <w:pPr>
        <w:pStyle w:val="Listenabsatz"/>
        <w:rPr>
          <w:szCs w:val="22"/>
          <w:lang w:eastAsia="de-CH"/>
        </w:rPr>
      </w:pPr>
    </w:p>
    <w:p w14:paraId="2E7DAB4B" w14:textId="77777777" w:rsidR="00CB3FDD" w:rsidRPr="00CB3FDD" w:rsidRDefault="00CB3FDD" w:rsidP="00CB3FDD">
      <w:pPr>
        <w:pStyle w:val="berschrift2"/>
        <w:rPr>
          <w:sz w:val="22"/>
          <w:szCs w:val="22"/>
          <w:lang w:eastAsia="de-CH"/>
        </w:rPr>
      </w:pPr>
      <w:bookmarkStart w:id="95" w:name="_Toc161749170"/>
      <w:r w:rsidRPr="00CB3FDD">
        <w:rPr>
          <w:sz w:val="22"/>
          <w:szCs w:val="22"/>
        </w:rPr>
        <w:t>Artikel 3, Bst. g</w:t>
      </w:r>
      <w:bookmarkEnd w:id="95"/>
    </w:p>
    <w:p w14:paraId="26212F58" w14:textId="77777777" w:rsidR="00CB3FDD" w:rsidRPr="00CB3FDD" w:rsidRDefault="00CB3FDD" w:rsidP="00CB3FDD">
      <w:pPr>
        <w:pStyle w:val="Textkrper"/>
        <w:rPr>
          <w:sz w:val="22"/>
          <w:lang w:eastAsia="de-CH"/>
        </w:rPr>
      </w:pPr>
      <w:r w:rsidRPr="00CB3FDD">
        <w:rPr>
          <w:sz w:val="22"/>
          <w:lang w:eastAsia="de-CH"/>
        </w:rPr>
        <w:t>Die vorgeschlagene Erweiterung des Geltungsbereichs ist zu begrüssen.</w:t>
      </w:r>
    </w:p>
    <w:p w14:paraId="6222074D" w14:textId="77777777" w:rsidR="00CB3FDD" w:rsidRPr="00CB3FDD" w:rsidRDefault="00CB3FDD" w:rsidP="00CB3FDD">
      <w:pPr>
        <w:pStyle w:val="berschrift2"/>
        <w:rPr>
          <w:sz w:val="22"/>
          <w:szCs w:val="22"/>
          <w:lang w:eastAsia="de-CH"/>
        </w:rPr>
      </w:pPr>
      <w:bookmarkStart w:id="96" w:name="_Toc161749171"/>
      <w:r w:rsidRPr="00CB3FDD">
        <w:rPr>
          <w:sz w:val="22"/>
          <w:szCs w:val="22"/>
        </w:rPr>
        <w:lastRenderedPageBreak/>
        <w:t>Artikel 5</w:t>
      </w:r>
      <w:bookmarkEnd w:id="96"/>
      <w:r w:rsidRPr="00CB3FDD">
        <w:rPr>
          <w:sz w:val="22"/>
          <w:szCs w:val="22"/>
        </w:rPr>
        <w:t xml:space="preserve"> </w:t>
      </w:r>
    </w:p>
    <w:p w14:paraId="4E7F07FD" w14:textId="271BF990" w:rsidR="00CB3FDD" w:rsidRPr="00CB3FDD" w:rsidRDefault="00CB3FDD" w:rsidP="00CB3FDD">
      <w:pPr>
        <w:pStyle w:val="Textkrper"/>
        <w:rPr>
          <w:sz w:val="22"/>
          <w:lang w:eastAsia="de-CH"/>
        </w:rPr>
      </w:pPr>
      <w:r w:rsidRPr="00CB3FDD">
        <w:rPr>
          <w:sz w:val="22"/>
          <w:lang w:eastAsia="de-CH"/>
        </w:rPr>
        <w:t xml:space="preserve">Siehe dazu Ziff. </w:t>
      </w:r>
      <w:r w:rsidRPr="00CB3FDD">
        <w:rPr>
          <w:sz w:val="22"/>
          <w:lang w:eastAsia="de-CH"/>
        </w:rPr>
        <w:fldChar w:fldCharType="begin"/>
      </w:r>
      <w:r w:rsidRPr="00CB3FDD">
        <w:rPr>
          <w:sz w:val="22"/>
          <w:lang w:eastAsia="de-CH"/>
        </w:rPr>
        <w:instrText xml:space="preserve"> REF _Ref161590234 \r \h  \* MERGEFORMAT </w:instrText>
      </w:r>
      <w:r w:rsidRPr="00CB3FDD">
        <w:rPr>
          <w:sz w:val="22"/>
          <w:lang w:eastAsia="de-CH"/>
        </w:rPr>
      </w:r>
      <w:r w:rsidRPr="00CB3FDD">
        <w:rPr>
          <w:sz w:val="22"/>
          <w:lang w:eastAsia="de-CH"/>
        </w:rPr>
        <w:fldChar w:fldCharType="separate"/>
      </w:r>
      <w:r w:rsidR="00663FF0">
        <w:rPr>
          <w:sz w:val="22"/>
          <w:lang w:eastAsia="de-CH"/>
        </w:rPr>
        <w:t>4.1</w:t>
      </w:r>
      <w:r w:rsidRPr="00CB3FDD">
        <w:rPr>
          <w:sz w:val="22"/>
          <w:lang w:eastAsia="de-CH"/>
        </w:rPr>
        <w:fldChar w:fldCharType="end"/>
      </w:r>
      <w:r w:rsidRPr="00CB3FDD">
        <w:rPr>
          <w:sz w:val="22"/>
          <w:lang w:eastAsia="de-CH"/>
        </w:rPr>
        <w:t>.</w:t>
      </w:r>
    </w:p>
    <w:p w14:paraId="7A6247C7" w14:textId="77777777" w:rsidR="00CB3FDD" w:rsidRPr="00CB3FDD" w:rsidRDefault="00CB3FDD" w:rsidP="00CB3FDD">
      <w:pPr>
        <w:pStyle w:val="berschrift3"/>
        <w:rPr>
          <w:szCs w:val="22"/>
          <w:lang w:eastAsia="de-CH"/>
        </w:rPr>
      </w:pPr>
      <w:bookmarkStart w:id="97" w:name="_Toc161749172"/>
      <w:r w:rsidRPr="00CB3FDD">
        <w:rPr>
          <w:szCs w:val="22"/>
        </w:rPr>
        <w:t>Absatz 1</w:t>
      </w:r>
      <w:bookmarkEnd w:id="97"/>
    </w:p>
    <w:p w14:paraId="27689973" w14:textId="77777777" w:rsidR="00CB3FDD" w:rsidRPr="00CB3FDD" w:rsidRDefault="00CB3FDD" w:rsidP="00CB3FDD">
      <w:pPr>
        <w:pStyle w:val="Textkrper"/>
        <w:rPr>
          <w:sz w:val="22"/>
        </w:rPr>
      </w:pPr>
      <w:r w:rsidRPr="00CB3FDD">
        <w:rPr>
          <w:sz w:val="22"/>
        </w:rPr>
        <w:t xml:space="preserve">Art. 5 Abs. 1 müsste deutlich konkreter formuliert werden. Er sollte insbesondere die Verpflichtungen nach Art. 4 Abs. 1 und 2 BRK klarer zum Ausdruck bringen. So muss insbesondere sichergestellt werden, dass: </w:t>
      </w:r>
    </w:p>
    <w:p w14:paraId="72D3A9DD" w14:textId="77777777" w:rsidR="00CB3FDD" w:rsidRPr="00CB3FDD" w:rsidRDefault="00CB3FDD" w:rsidP="00CB3FDD">
      <w:pPr>
        <w:pStyle w:val="Textkrper"/>
        <w:numPr>
          <w:ilvl w:val="0"/>
          <w:numId w:val="42"/>
        </w:numPr>
        <w:spacing w:line="280" w:lineRule="exact"/>
        <w:jc w:val="both"/>
        <w:rPr>
          <w:sz w:val="22"/>
          <w:lang w:eastAsia="de-CH"/>
        </w:rPr>
      </w:pPr>
      <w:r w:rsidRPr="00CB3FDD">
        <w:rPr>
          <w:sz w:val="22"/>
          <w:lang w:eastAsia="de-CH"/>
        </w:rPr>
        <w:t>die Massnahmen so gestaltet werden, dass Menschen mit Behinderungen ein möglichst selbstbestimmtes Leben führen und Verantwortung dafür übernehmen können. Die Gestaltung der Massnahmen darf nicht dazu führen, dass Isolation, Segregation, Stigmatisierung oder andere Formen der Diskriminierung von Menschen mit Behinderungen aufrechterhalten werden.</w:t>
      </w:r>
    </w:p>
    <w:p w14:paraId="3D28825D" w14:textId="77777777" w:rsidR="00CB3FDD" w:rsidRPr="00CB3FDD" w:rsidRDefault="00CB3FDD" w:rsidP="00CB3FDD">
      <w:pPr>
        <w:pStyle w:val="Textkrper"/>
        <w:numPr>
          <w:ilvl w:val="0"/>
          <w:numId w:val="42"/>
        </w:numPr>
        <w:spacing w:line="280" w:lineRule="exact"/>
        <w:jc w:val="both"/>
        <w:rPr>
          <w:sz w:val="22"/>
          <w:lang w:eastAsia="de-CH"/>
        </w:rPr>
      </w:pPr>
      <w:r w:rsidRPr="00CB3FDD">
        <w:rPr>
          <w:sz w:val="22"/>
          <w:lang w:eastAsia="de-CH"/>
        </w:rPr>
        <w:t xml:space="preserve">die Massnahmen nicht auf vorgefassten Meinungen darüber beruhen, was Menschen mit Behinderungen tun oder nicht tun können. Hier ist daran zu erinnern, dass der BRK-Ausschuss in seinen Schlussbemerkungen mit Besorgnis auf die in der Schweiz vorherrschenden negativen Stereotypen und Vorurteile hingewiesen hat. </w:t>
      </w:r>
    </w:p>
    <w:p w14:paraId="561E0605" w14:textId="77777777" w:rsidR="00CB3FDD" w:rsidRPr="00CB3FDD" w:rsidRDefault="00CB3FDD" w:rsidP="00CB3FDD">
      <w:pPr>
        <w:pStyle w:val="Textkrper"/>
        <w:numPr>
          <w:ilvl w:val="0"/>
          <w:numId w:val="42"/>
        </w:numPr>
        <w:spacing w:line="280" w:lineRule="exact"/>
        <w:jc w:val="both"/>
        <w:rPr>
          <w:sz w:val="22"/>
          <w:lang w:eastAsia="de-CH"/>
        </w:rPr>
      </w:pPr>
      <w:r w:rsidRPr="00CB3FDD">
        <w:rPr>
          <w:sz w:val="22"/>
          <w:lang w:eastAsia="de-CH"/>
        </w:rPr>
        <w:t xml:space="preserve">die Massnahmen kontinuierlich und unter Ausschöpfung aller verfügbaren Mitteln ergriffen werden. Dabei bedeutet kontinuierlich, dass Massnahmen immer wieder und regelmässig ergriffen werden müssen; es geht also darum, die gegebene Situation in regelmässigen Abständen zu analysieren, zu bewerten und dementsprechend die erforderlichen Massnahmen zu ergreifen. Dieser Ausdruck erkennt an, dass die sozioökonomischen und kulturellen Rechte schrittweise verwirklicht werden müssen, damit sie letztendlich voll verwirklicht werden können. «Ausschöpfung aller verfügbaren Mittel» ist als «im Rahmen der dem Bund und den Kantonen zur Verfügung stehenden Ressourcen» zu verstehen. Gemäss BRK umfassen verfügbare Ressourcen auch solche, die umgewandelt werden können, d. h. es kann eine Verpflichtung bestehen, Ressourcen zu transferieren, die in einer Weise verwendet werden, die nicht mit der BRK vereinbar ist. Dies schliesst nicht aus, dass bestimmte Ressourcen aufgrund anderer Prioritäten nicht zur Verfügung stehen. </w:t>
      </w:r>
    </w:p>
    <w:p w14:paraId="58D9DEA8" w14:textId="77777777" w:rsidR="00CB3FDD" w:rsidRPr="00CB3FDD" w:rsidRDefault="00CB3FDD" w:rsidP="00CB3FDD">
      <w:pPr>
        <w:pStyle w:val="Textkrper"/>
        <w:numPr>
          <w:ilvl w:val="0"/>
          <w:numId w:val="42"/>
        </w:numPr>
        <w:spacing w:line="280" w:lineRule="exact"/>
        <w:jc w:val="both"/>
        <w:rPr>
          <w:sz w:val="22"/>
          <w:lang w:eastAsia="de-CH"/>
        </w:rPr>
      </w:pPr>
      <w:r w:rsidRPr="00CB3FDD">
        <w:rPr>
          <w:sz w:val="22"/>
          <w:lang w:eastAsia="de-CH"/>
        </w:rPr>
        <w:t>Bund und Kantone die von ihnen ausgewählten Massnahmen begründen, insbesondere hinsichtlich der Prioritäten. Ausserdem muss ein Zeitplan mit Meilensteinen für die Verabschiedung und Umsetzung der Massnahmen festgelegt werden. Der Fortschritt der Massnahmen muss mithilfe von Kontrollmechanismen bewertet werden können. Schliesslich müssen diese Stellen Ressourcen für die Annahme und Umsetzung von Massnahmen zur Verfügung stellen. Gegebenenfalls kann die geforderte Planung auch das Fehlen von Massnahmen erklären und rechtfertigen; sie wird vom Gericht oder der Verwaltungsbehörde berücksichtigt, wenn im Einzelfall festgestellt werden muss, inwieweit die Körperschaft zur Beseitigung einer Diskriminierung gezwungen werden kann.</w:t>
      </w:r>
    </w:p>
    <w:p w14:paraId="393FC200"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b/>
          <w:sz w:val="22"/>
          <w:highlight w:val="green"/>
          <w:lang w:eastAsia="de-CH"/>
        </w:rPr>
      </w:pPr>
      <w:r w:rsidRPr="00CB3FDD">
        <w:rPr>
          <w:b/>
          <w:sz w:val="22"/>
          <w:lang w:eastAsia="de-CH"/>
        </w:rPr>
        <w:t>Anpassungsvorschlag</w:t>
      </w:r>
    </w:p>
    <w:p w14:paraId="5E025436"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Abs. 1</w:t>
      </w:r>
    </w:p>
    <w:p w14:paraId="1A659022"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rPr>
        <w:lastRenderedPageBreak/>
        <w:t>Bund und Kantone sind verpflichtet, unabhängig von individuellen Beanstandungen alle gesetzgeberischen, politischen und Verwaltungsmassnahmen zu ergreifen, die erforderlich sind, um den Zweck dieses Gesetzes gemäss Art. 1 zu erfüllen</w:t>
      </w:r>
      <w:r w:rsidRPr="00CB3FDD">
        <w:rPr>
          <w:sz w:val="22"/>
          <w:lang w:eastAsia="de-CH"/>
        </w:rPr>
        <w:t>.</w:t>
      </w:r>
    </w:p>
    <w:p w14:paraId="45572D23"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Abs. 1a</w:t>
      </w:r>
    </w:p>
    <w:p w14:paraId="3C6B67D0"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rPr>
        <w:t xml:space="preserve">Die Massnahmen müssen der Realität von Menschen mit Behinderungen entsprechen. Sie sind so zu gestalten, dass sie ihnen ermöglichen, </w:t>
      </w:r>
      <w:r w:rsidRPr="00CB3FDD">
        <w:rPr>
          <w:sz w:val="22"/>
          <w:lang w:eastAsia="de-CH"/>
        </w:rPr>
        <w:t>ein möglichst selbstbestimmtes Leben zu führen und die Verantwortung dafür zu übernehmen.</w:t>
      </w:r>
    </w:p>
    <w:p w14:paraId="7F7A7711"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Abs. 1c</w:t>
      </w:r>
    </w:p>
    <w:p w14:paraId="1836C595"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Bund und Kantone müssen die erforderlichen Massnahmen kontinuierlich und unter Ausschöpfung aller verfügbaren Mittel, einschliesslich der Mittelumschichtung, ergreifen.</w:t>
      </w:r>
    </w:p>
    <w:p w14:paraId="0846A918"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Abs. 1d</w:t>
      </w:r>
    </w:p>
    <w:p w14:paraId="19D1A788"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Sie begründen die ausgewählten Massnahmen, verabschieden einen Zeitplan, legen Meilensteine fest, definieren Kontrollmechanismen und stellen die Ressourcen zur Verfügung.</w:t>
      </w:r>
    </w:p>
    <w:p w14:paraId="1B14CD86" w14:textId="77777777" w:rsidR="00CB3FDD" w:rsidRPr="00CB3FDD" w:rsidRDefault="00CB3FDD" w:rsidP="00CB3FDD">
      <w:pPr>
        <w:pStyle w:val="berschrift3"/>
        <w:rPr>
          <w:szCs w:val="22"/>
          <w:lang w:eastAsia="de-CH"/>
        </w:rPr>
      </w:pPr>
      <w:bookmarkStart w:id="98" w:name="_Toc161749173"/>
      <w:r w:rsidRPr="00CB3FDD">
        <w:rPr>
          <w:szCs w:val="22"/>
        </w:rPr>
        <w:t>Absatz 1bis</w:t>
      </w:r>
      <w:bookmarkEnd w:id="98"/>
    </w:p>
    <w:p w14:paraId="081D3B3D" w14:textId="352A270C" w:rsidR="00CB3FDD" w:rsidRPr="00CB3FDD" w:rsidRDefault="00CB3FDD" w:rsidP="00CB3FDD">
      <w:pPr>
        <w:pStyle w:val="Textkrper"/>
        <w:rPr>
          <w:sz w:val="22"/>
          <w:lang w:eastAsia="de-CH"/>
        </w:rPr>
      </w:pPr>
      <w:r w:rsidRPr="00CB3FDD">
        <w:rPr>
          <w:sz w:val="22"/>
          <w:lang w:eastAsia="de-CH"/>
        </w:rPr>
        <w:t xml:space="preserve">Die gesetzliche Verankerung der Pflicht zum Einbezug der Behindertenorganisationen ist </w:t>
      </w:r>
      <w:r w:rsidRPr="00CB3FDD">
        <w:rPr>
          <w:b/>
          <w:sz w:val="22"/>
          <w:lang w:eastAsia="de-CH"/>
        </w:rPr>
        <w:t xml:space="preserve">grundsätzlich sehr zu begrüssen </w:t>
      </w:r>
      <w:r w:rsidRPr="00CB3FDD">
        <w:rPr>
          <w:sz w:val="22"/>
          <w:lang w:eastAsia="de-CH"/>
        </w:rPr>
        <w:t xml:space="preserve">(dazu Ziff. </w:t>
      </w:r>
      <w:r w:rsidRPr="00CB3FDD">
        <w:rPr>
          <w:sz w:val="22"/>
          <w:lang w:eastAsia="de-CH"/>
        </w:rPr>
        <w:fldChar w:fldCharType="begin"/>
      </w:r>
      <w:r w:rsidRPr="00CB3FDD">
        <w:rPr>
          <w:sz w:val="22"/>
          <w:lang w:eastAsia="de-CH"/>
        </w:rPr>
        <w:instrText xml:space="preserve"> REF _Ref161731469 \r \h  \* MERGEFORMAT </w:instrText>
      </w:r>
      <w:r w:rsidRPr="00CB3FDD">
        <w:rPr>
          <w:sz w:val="22"/>
          <w:lang w:eastAsia="de-CH"/>
        </w:rPr>
      </w:r>
      <w:r w:rsidRPr="00CB3FDD">
        <w:rPr>
          <w:sz w:val="22"/>
          <w:lang w:eastAsia="de-CH"/>
        </w:rPr>
        <w:fldChar w:fldCharType="separate"/>
      </w:r>
      <w:r w:rsidR="00663FF0">
        <w:rPr>
          <w:sz w:val="22"/>
          <w:lang w:eastAsia="de-CH"/>
        </w:rPr>
        <w:t>6.1</w:t>
      </w:r>
      <w:r w:rsidRPr="00CB3FDD">
        <w:rPr>
          <w:sz w:val="22"/>
          <w:lang w:eastAsia="de-CH"/>
        </w:rPr>
        <w:fldChar w:fldCharType="end"/>
      </w:r>
      <w:r w:rsidRPr="00CB3FDD">
        <w:rPr>
          <w:sz w:val="22"/>
          <w:lang w:eastAsia="de-CH"/>
        </w:rPr>
        <w:t xml:space="preserve">). Der Vorschlag gemäss Art. 5 Abs. 1 VE-BehiG orientiert sich zwar an Art. 4 Abs. 3 BRK. Es fehlen aber die zentralen Angaben zu den Anforderungen, welche diese Konvention an den Einbezug stellt. </w:t>
      </w:r>
    </w:p>
    <w:p w14:paraId="6476576B"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b/>
          <w:sz w:val="22"/>
          <w:lang w:eastAsia="de-CH"/>
        </w:rPr>
      </w:pPr>
      <w:r w:rsidRPr="00CB3FDD">
        <w:rPr>
          <w:b/>
          <w:sz w:val="22"/>
          <w:lang w:eastAsia="de-CH"/>
        </w:rPr>
        <w:t>Anpassungsvorschlag</w:t>
      </w:r>
    </w:p>
    <w:p w14:paraId="2B048FEB"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lang w:eastAsia="de-CH"/>
        </w:rPr>
        <w:t>Abs. 1bis a</w:t>
      </w:r>
    </w:p>
    <w:p w14:paraId="6912015C"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rPr>
      </w:pPr>
      <w:r w:rsidRPr="00CB3FDD">
        <w:rPr>
          <w:sz w:val="22"/>
        </w:rPr>
        <w:t>Bei der Ausarbeitung und Umsetzung von Gesetzes-, Verwaltungs- und anderen Massnahmen, die sich direkt oder indirekt auf die Gleichstellung und die Rechte von Menschen mit Behinderungen auswirken können, führen Bund und Kantone mit den Menschen mit Behinderungen über die sie vertretenden Organisationen enge Konsultationen und beziehen sie aktiv ein.</w:t>
      </w:r>
    </w:p>
    <w:p w14:paraId="72CB2233"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rPr>
      </w:pPr>
      <w:r w:rsidRPr="00CB3FDD">
        <w:rPr>
          <w:sz w:val="22"/>
        </w:rPr>
        <w:t>Abs. 1bis b</w:t>
      </w:r>
    </w:p>
    <w:p w14:paraId="75EC016D"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rPr>
      </w:pPr>
      <w:r w:rsidRPr="00CB3FDD">
        <w:rPr>
          <w:sz w:val="22"/>
        </w:rPr>
        <w:t>Sie stellen sicher, dass die Konsultation und der Einbezug in einem frühen Stadium erfolgen, in dem noch alle Optionen offen sind und eine wirksame Partizipation stattfinden kann.</w:t>
      </w:r>
    </w:p>
    <w:p w14:paraId="79FF9905"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rPr>
      </w:pPr>
      <w:r w:rsidRPr="00CB3FDD">
        <w:rPr>
          <w:sz w:val="22"/>
        </w:rPr>
        <w:t>Abs. 1bis c</w:t>
      </w:r>
    </w:p>
    <w:p w14:paraId="5D9E60B5"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rPr>
      </w:pPr>
      <w:r w:rsidRPr="00CB3FDD">
        <w:rPr>
          <w:sz w:val="22"/>
        </w:rPr>
        <w:t>Sie gewährleisten ihren Zugang zu relevanten Informationen, insbesondere durch geeignete Unterstützungs- und Anpassungsmassnahmen. Sie informieren die konsultierten und beteiligten Organisationen über das Ergebnis des Prozesses.</w:t>
      </w:r>
    </w:p>
    <w:p w14:paraId="1FF0DE64"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rPr>
      </w:pPr>
      <w:r w:rsidRPr="00CB3FDD">
        <w:rPr>
          <w:sz w:val="22"/>
        </w:rPr>
        <w:t>Abs. 1bis d</w:t>
      </w:r>
    </w:p>
    <w:p w14:paraId="7690659C"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360"/>
        <w:rPr>
          <w:sz w:val="22"/>
          <w:lang w:eastAsia="de-CH"/>
        </w:rPr>
      </w:pPr>
      <w:r w:rsidRPr="00CB3FDD">
        <w:rPr>
          <w:sz w:val="22"/>
        </w:rPr>
        <w:t>Sie entschädigen die Organisationen, die Menschen mit Behinderungen vertreten, für ihre Konsultation und Einbeziehung.</w:t>
      </w:r>
    </w:p>
    <w:p w14:paraId="1C971639" w14:textId="77777777" w:rsidR="00CB3FDD" w:rsidRPr="00CB3FDD" w:rsidRDefault="00CB3FDD" w:rsidP="00CB3FDD">
      <w:pPr>
        <w:pStyle w:val="berschrift2"/>
        <w:rPr>
          <w:sz w:val="22"/>
          <w:szCs w:val="22"/>
          <w:lang w:eastAsia="de-CH"/>
        </w:rPr>
      </w:pPr>
      <w:bookmarkStart w:id="99" w:name="_Toc161749174"/>
      <w:r w:rsidRPr="00CB3FDD">
        <w:rPr>
          <w:sz w:val="22"/>
          <w:szCs w:val="22"/>
        </w:rPr>
        <w:lastRenderedPageBreak/>
        <w:t>Artikel 6</w:t>
      </w:r>
      <w:bookmarkEnd w:id="99"/>
      <w:r w:rsidRPr="00CB3FDD">
        <w:rPr>
          <w:sz w:val="22"/>
          <w:szCs w:val="22"/>
        </w:rPr>
        <w:t xml:space="preserve"> </w:t>
      </w:r>
    </w:p>
    <w:p w14:paraId="6B3C489E" w14:textId="77777777" w:rsidR="00CB3FDD" w:rsidRPr="00CB3FDD" w:rsidRDefault="00CB3FDD" w:rsidP="00CB3FDD">
      <w:pPr>
        <w:pStyle w:val="berschrift3"/>
        <w:rPr>
          <w:szCs w:val="22"/>
        </w:rPr>
      </w:pPr>
      <w:bookmarkStart w:id="100" w:name="_Toc161749175"/>
      <w:r w:rsidRPr="00CB3FDD">
        <w:rPr>
          <w:szCs w:val="22"/>
        </w:rPr>
        <w:t>Absatz 1</w:t>
      </w:r>
      <w:bookmarkEnd w:id="100"/>
    </w:p>
    <w:p w14:paraId="02BAD348" w14:textId="12C8D960" w:rsidR="00CB3FDD" w:rsidRPr="00CB3FDD" w:rsidRDefault="00CB3FDD" w:rsidP="00CB3FDD">
      <w:pPr>
        <w:pStyle w:val="Textkrper"/>
        <w:rPr>
          <w:sz w:val="22"/>
          <w:lang w:eastAsia="de-CH"/>
        </w:rPr>
      </w:pPr>
      <w:r w:rsidRPr="00CB3FDD">
        <w:rPr>
          <w:sz w:val="22"/>
          <w:lang w:eastAsia="de-CH"/>
        </w:rPr>
        <w:t xml:space="preserve">Siehe dazu Ziff. </w:t>
      </w:r>
      <w:r w:rsidRPr="00CB3FDD">
        <w:rPr>
          <w:sz w:val="22"/>
          <w:lang w:eastAsia="de-CH"/>
        </w:rPr>
        <w:fldChar w:fldCharType="begin"/>
      </w:r>
      <w:r w:rsidRPr="00CB3FDD">
        <w:rPr>
          <w:sz w:val="22"/>
          <w:lang w:eastAsia="de-CH"/>
        </w:rPr>
        <w:instrText xml:space="preserve"> REF _Ref161651031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4.2.2</w:t>
      </w:r>
      <w:r w:rsidRPr="00CB3FDD">
        <w:rPr>
          <w:sz w:val="22"/>
          <w:lang w:eastAsia="de-CH"/>
        </w:rPr>
        <w:fldChar w:fldCharType="end"/>
      </w:r>
      <w:r w:rsidRPr="00CB3FDD">
        <w:rPr>
          <w:sz w:val="22"/>
          <w:lang w:eastAsia="de-CH"/>
        </w:rPr>
        <w:t xml:space="preserve">. Der Wille hinter dem Revisionsvorschlag ist es, den Schutz vor Diskriminierung bei der Inanspruchnahme von öffentlich-zugänglichen Dienstleistungen Privater zu stärken. Wie in dieser Stellungnahme bereits mehrfach erwähnt: Wichtig, richtig und wird von </w:t>
      </w:r>
      <w:r w:rsidR="00E93B6D">
        <w:rPr>
          <w:sz w:val="22"/>
          <w:lang w:eastAsia="de-CH"/>
        </w:rPr>
        <w:t>Pro Infirmis</w:t>
      </w:r>
      <w:r w:rsidRPr="00CB3FDD">
        <w:rPr>
          <w:sz w:val="22"/>
          <w:lang w:eastAsia="de-CH"/>
        </w:rPr>
        <w:t xml:space="preserve"> sehr unterstützt! Doch die diesbezüglichen Vorschläge des VE führen dazu, dass die ursprüngliche Fehlkonzeption des BehiG, noch gewaltig verkompliziert wird. Diese wird zu einer grossen Rechtsunsicherheit führen. Es ist vor diesem Hintergrund nicht anzunehmen, dass Gerichte und Behörden eine Praxis entwickeln werden, die tatsächlich zur gleichberechtigten und autonomen Teilhabe von Menschen mit Behinderungen am gesellschaftlichen Leben beitragen wird.</w:t>
      </w:r>
    </w:p>
    <w:p w14:paraId="54482AA0" w14:textId="77777777" w:rsidR="00CB3FDD" w:rsidRPr="00CB3FDD" w:rsidRDefault="00CB3FDD" w:rsidP="00CB3FDD">
      <w:pPr>
        <w:pStyle w:val="berschrift3"/>
        <w:rPr>
          <w:szCs w:val="22"/>
          <w:lang w:eastAsia="de-CH"/>
        </w:rPr>
      </w:pPr>
      <w:bookmarkStart w:id="101" w:name="_Toc161749176"/>
      <w:r w:rsidRPr="00CB3FDD">
        <w:rPr>
          <w:szCs w:val="22"/>
        </w:rPr>
        <w:t>Absatz 2</w:t>
      </w:r>
      <w:bookmarkEnd w:id="101"/>
    </w:p>
    <w:p w14:paraId="6F98222D" w14:textId="6719F901" w:rsidR="00CB3FDD" w:rsidRPr="00CB3FDD" w:rsidRDefault="00CB3FDD" w:rsidP="00CB3FDD">
      <w:pPr>
        <w:pStyle w:val="Textkrper"/>
        <w:rPr>
          <w:sz w:val="22"/>
          <w:lang w:eastAsia="de-CH"/>
        </w:rPr>
      </w:pPr>
      <w:r w:rsidRPr="00CB3FDD">
        <w:rPr>
          <w:sz w:val="22"/>
          <w:lang w:eastAsia="de-CH"/>
        </w:rPr>
        <w:t xml:space="preserve">Siehe dazu Ziff. </w:t>
      </w:r>
      <w:r w:rsidRPr="00CB3FDD">
        <w:rPr>
          <w:sz w:val="22"/>
          <w:lang w:eastAsia="de-CH"/>
        </w:rPr>
        <w:fldChar w:fldCharType="begin"/>
      </w:r>
      <w:r w:rsidRPr="00CB3FDD">
        <w:rPr>
          <w:sz w:val="22"/>
          <w:lang w:eastAsia="de-CH"/>
        </w:rPr>
        <w:instrText xml:space="preserve"> REF _Ref161652603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4.2.4</w:t>
      </w:r>
      <w:r w:rsidRPr="00CB3FDD">
        <w:rPr>
          <w:sz w:val="22"/>
          <w:lang w:eastAsia="de-CH"/>
        </w:rPr>
        <w:fldChar w:fldCharType="end"/>
      </w:r>
      <w:r w:rsidRPr="00CB3FDD">
        <w:rPr>
          <w:sz w:val="22"/>
          <w:lang w:eastAsia="de-CH"/>
        </w:rPr>
        <w:t>.</w:t>
      </w:r>
    </w:p>
    <w:p w14:paraId="3A641853" w14:textId="77777777" w:rsidR="00CB3FDD" w:rsidRPr="00CB3FDD" w:rsidRDefault="00CB3FDD" w:rsidP="00CB3FDD">
      <w:pPr>
        <w:pStyle w:val="Textkrper"/>
        <w:rPr>
          <w:sz w:val="22"/>
        </w:rPr>
      </w:pPr>
      <w:r w:rsidRPr="00CB3FDD">
        <w:rPr>
          <w:sz w:val="22"/>
        </w:rPr>
        <w:t>Sofern der Begriff der Diskriminierung beibehalten wird, ist Art. 6 Abs. 2, wie folgt zu ändern:</w:t>
      </w:r>
    </w:p>
    <w:p w14:paraId="2D060B49" w14:textId="77777777" w:rsidR="00CB3FDD" w:rsidRPr="00CB3FDD" w:rsidRDefault="00CB3FDD" w:rsidP="00CB3FDD">
      <w:pPr>
        <w:pStyle w:val="Textkrper"/>
        <w:rPr>
          <w:i/>
          <w:sz w:val="22"/>
        </w:rPr>
      </w:pPr>
      <w:r w:rsidRPr="00CB3FDD">
        <w:rPr>
          <w:sz w:val="22"/>
        </w:rPr>
        <w:t xml:space="preserve">Sie müssen angemessene Vorkehrungen treffen, um Benachteiligungen von Menschen mit Behinderungen zu verhindern, zu verringern oder zu beseitigen. </w:t>
      </w:r>
      <w:r w:rsidRPr="00CB3FDD">
        <w:rPr>
          <w:i/>
          <w:sz w:val="22"/>
        </w:rPr>
        <w:t>Die Weigerung, angemessene Vorkehrungen zu treffen, bedeutet eine Diskriminierung im Sinne von Abs. 1.</w:t>
      </w:r>
    </w:p>
    <w:p w14:paraId="5BEBAEE8" w14:textId="77777777" w:rsidR="00CB3FDD" w:rsidRPr="00CB3FDD" w:rsidRDefault="00CB3FDD" w:rsidP="00CB3FDD">
      <w:pPr>
        <w:pStyle w:val="berschrift3"/>
        <w:rPr>
          <w:i/>
          <w:szCs w:val="22"/>
        </w:rPr>
      </w:pPr>
      <w:bookmarkStart w:id="102" w:name="_Toc161749177"/>
      <w:r w:rsidRPr="00CB3FDD">
        <w:rPr>
          <w:szCs w:val="22"/>
        </w:rPr>
        <w:t>Absatz 3</w:t>
      </w:r>
      <w:bookmarkEnd w:id="102"/>
    </w:p>
    <w:p w14:paraId="7BA1EDBE" w14:textId="47CCF21C" w:rsidR="00CB3FDD" w:rsidRPr="00CB3FDD" w:rsidRDefault="00CB3FDD" w:rsidP="00CB3FDD">
      <w:pPr>
        <w:pStyle w:val="Textkrper"/>
        <w:rPr>
          <w:sz w:val="22"/>
          <w:lang w:eastAsia="de-CH"/>
        </w:rPr>
      </w:pPr>
      <w:r w:rsidRPr="00CB3FDD">
        <w:rPr>
          <w:sz w:val="22"/>
          <w:lang w:eastAsia="de-CH"/>
        </w:rPr>
        <w:t xml:space="preserve">Siehe dazu Ziff. </w:t>
      </w:r>
      <w:r w:rsidRPr="00CB3FDD">
        <w:rPr>
          <w:sz w:val="22"/>
          <w:lang w:eastAsia="de-CH"/>
        </w:rPr>
        <w:fldChar w:fldCharType="begin"/>
      </w:r>
      <w:r w:rsidRPr="00CB3FDD">
        <w:rPr>
          <w:sz w:val="22"/>
          <w:lang w:eastAsia="de-CH"/>
        </w:rPr>
        <w:instrText xml:space="preserve"> REF _Ref161652603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4.2.4</w:t>
      </w:r>
      <w:r w:rsidRPr="00CB3FDD">
        <w:rPr>
          <w:sz w:val="22"/>
          <w:lang w:eastAsia="de-CH"/>
        </w:rPr>
        <w:fldChar w:fldCharType="end"/>
      </w:r>
      <w:r w:rsidRPr="00CB3FDD">
        <w:rPr>
          <w:sz w:val="22"/>
          <w:lang w:eastAsia="de-CH"/>
        </w:rPr>
        <w:t>.</w:t>
      </w:r>
    </w:p>
    <w:p w14:paraId="0E2A8EB5" w14:textId="77777777" w:rsidR="00CB3FDD" w:rsidRPr="00CB3FDD" w:rsidRDefault="00CB3FDD" w:rsidP="00CB3FDD">
      <w:pPr>
        <w:pStyle w:val="Textkrper"/>
        <w:rPr>
          <w:sz w:val="22"/>
        </w:rPr>
      </w:pPr>
      <w:r w:rsidRPr="00CB3FDD">
        <w:rPr>
          <w:sz w:val="22"/>
        </w:rPr>
        <w:t>Sofern der Begriff der Diskriminierung beibehalten wird, ist Art. 6 Abs. 3, wie folgt zu ändern:</w:t>
      </w:r>
    </w:p>
    <w:p w14:paraId="11B172D3" w14:textId="77777777" w:rsidR="00CB3FDD" w:rsidRPr="00CB3FDD" w:rsidRDefault="00CB3FDD" w:rsidP="00CB3FDD">
      <w:pPr>
        <w:pStyle w:val="Textkrper"/>
        <w:rPr>
          <w:sz w:val="22"/>
        </w:rPr>
      </w:pPr>
      <w:r w:rsidRPr="00CB3FDD">
        <w:rPr>
          <w:sz w:val="22"/>
        </w:rPr>
        <w:t xml:space="preserve">Digital angebotene Dienstleistungen müssen hinsichtlich der Zugänglichkeit für Menschen mit Behinderungen den internationalen und nationalen Informatikstandards entsprechen, </w:t>
      </w:r>
      <w:r w:rsidRPr="00CB3FDD">
        <w:rPr>
          <w:i/>
          <w:sz w:val="22"/>
        </w:rPr>
        <w:t>andernfalls liegt eine Diskriminierung im Sinne von Abs. 1 vor.</w:t>
      </w:r>
    </w:p>
    <w:p w14:paraId="5F8EBD8D" w14:textId="77777777" w:rsidR="00CB3FDD" w:rsidRPr="00CB3FDD" w:rsidRDefault="00CB3FDD" w:rsidP="00CB3FDD">
      <w:pPr>
        <w:pStyle w:val="Textkrper"/>
        <w:rPr>
          <w:sz w:val="22"/>
        </w:rPr>
      </w:pPr>
      <w:r w:rsidRPr="00CB3FDD">
        <w:rPr>
          <w:sz w:val="22"/>
        </w:rPr>
        <w:t xml:space="preserve">Zudem noch folgende Bemerkungen: </w:t>
      </w:r>
    </w:p>
    <w:p w14:paraId="020AAD35" w14:textId="77777777" w:rsidR="00CB3FDD" w:rsidRPr="00CB3FDD" w:rsidRDefault="00CB3FDD" w:rsidP="00CB3FDD">
      <w:pPr>
        <w:pStyle w:val="Textkrper"/>
        <w:numPr>
          <w:ilvl w:val="0"/>
          <w:numId w:val="42"/>
        </w:numPr>
        <w:spacing w:line="280" w:lineRule="exact"/>
        <w:jc w:val="both"/>
        <w:rPr>
          <w:sz w:val="22"/>
        </w:rPr>
      </w:pPr>
      <w:r w:rsidRPr="00CB3FDD">
        <w:rPr>
          <w:sz w:val="22"/>
        </w:rPr>
        <w:t>Sehr zu begrüssen ist, dass die Verpflichtung zur Zugänglichmachung von digital angebotenen Dienstleistungen neu auch Private erfasst.</w:t>
      </w:r>
    </w:p>
    <w:p w14:paraId="6EA37BB4" w14:textId="77777777" w:rsidR="00CB3FDD" w:rsidRPr="00CB3FDD" w:rsidRDefault="00CB3FDD" w:rsidP="00CB3FDD">
      <w:pPr>
        <w:pStyle w:val="Textkrper"/>
        <w:numPr>
          <w:ilvl w:val="0"/>
          <w:numId w:val="42"/>
        </w:numPr>
        <w:spacing w:line="280" w:lineRule="exact"/>
        <w:jc w:val="both"/>
        <w:rPr>
          <w:sz w:val="22"/>
        </w:rPr>
      </w:pPr>
      <w:r w:rsidRPr="00CB3FDD">
        <w:rPr>
          <w:sz w:val="22"/>
        </w:rPr>
        <w:t xml:space="preserve">Zu begrüssen ist ebenfalls, dass das Gesetz (und nicht erst die Verordnung) selbst auf die Verpflichtung hinweist, dabei die internationalen und nationalen Informatikstandards einzuhalten. </w:t>
      </w:r>
    </w:p>
    <w:p w14:paraId="10CDA41A" w14:textId="77777777" w:rsidR="00CB3FDD" w:rsidRPr="00CB3FDD" w:rsidRDefault="00CB3FDD" w:rsidP="00CB3FDD">
      <w:pPr>
        <w:pStyle w:val="Textkrper"/>
        <w:numPr>
          <w:ilvl w:val="0"/>
          <w:numId w:val="42"/>
        </w:numPr>
        <w:spacing w:line="280" w:lineRule="exact"/>
        <w:jc w:val="both"/>
        <w:rPr>
          <w:sz w:val="22"/>
        </w:rPr>
      </w:pPr>
      <w:r w:rsidRPr="00CB3FDD">
        <w:rPr>
          <w:sz w:val="22"/>
        </w:rPr>
        <w:t xml:space="preserve">Der Entscheid, im BehiG auf einen dynamischen Verweis auf die Normen zu verzichten, ist richtig. Auf Gesetzesebene, und nicht erst in der Verordnung, ist aber zu umschreiben, welches Mindestmass an Bedienungsanspruch der Dienstleistungen mit den zu festzulegenden Standards für Menschen mit Behinderungen zu gewährleisten sind, insbesondere auch mit Bezug auf die Verständlichkeit der Information. </w:t>
      </w:r>
    </w:p>
    <w:p w14:paraId="3C1D3FA7" w14:textId="77777777" w:rsidR="00CB3FDD" w:rsidRPr="00CB3FDD" w:rsidRDefault="00CB3FDD" w:rsidP="00CB3FDD">
      <w:pPr>
        <w:pStyle w:val="Textkrper"/>
        <w:numPr>
          <w:ilvl w:val="0"/>
          <w:numId w:val="42"/>
        </w:numPr>
        <w:spacing w:line="280" w:lineRule="exact"/>
        <w:jc w:val="both"/>
        <w:rPr>
          <w:sz w:val="22"/>
        </w:rPr>
      </w:pPr>
      <w:r w:rsidRPr="00CB3FDD">
        <w:rPr>
          <w:sz w:val="22"/>
        </w:rPr>
        <w:t>In der Verordnung ist ausdrücklich auf den Standard eCH-0059 und die international anerkannten Web Content Accessibility Guidelines WCAG des World Wide Web Consortium W3C zu verweisen.</w:t>
      </w:r>
    </w:p>
    <w:p w14:paraId="491FCB13" w14:textId="77777777" w:rsidR="00CB3FDD" w:rsidRPr="00CB3FDD" w:rsidRDefault="00CB3FDD" w:rsidP="00CB3FDD">
      <w:pPr>
        <w:pStyle w:val="Textkrper"/>
        <w:numPr>
          <w:ilvl w:val="0"/>
          <w:numId w:val="42"/>
        </w:numPr>
        <w:spacing w:line="280" w:lineRule="exact"/>
        <w:jc w:val="both"/>
        <w:rPr>
          <w:sz w:val="22"/>
        </w:rPr>
      </w:pPr>
      <w:r w:rsidRPr="00CB3FDD">
        <w:rPr>
          <w:sz w:val="22"/>
        </w:rPr>
        <w:t xml:space="preserve">Schliesslich muss bezweifelt werden, ob die beiden im erläuternden Bericht genannten Bereiche des elektronischen Geschäftsverkehrs (E-Commerce) und der Informations-, Kommunikations- und Transaktionsprodukte und -dienstleistungen (IKT-Produkte und -Dienstleistungen) ausreichend sind, um eine tatsächlich barrierefreie Nutzung im Alltag </w:t>
      </w:r>
      <w:r w:rsidRPr="00CB3FDD">
        <w:rPr>
          <w:sz w:val="22"/>
        </w:rPr>
        <w:lastRenderedPageBreak/>
        <w:t>nötiger Dienstleistungen zu gewährleisten. Die Hinweise in Klammern «E-Commerce» und «IKT-Produkte und –Dienstleistungen» deuten auf eine beabsichtigte Beschränkung auf die genannten Bereiche hin. Dadurch kann nicht ausgeschlossen werden, dass wichtige Tools von Banken und Versicherungen davon ausgeschlossen sein könnten. Die Botschaft muss klarstellen, dass e-Banking- und Versicherungstools mitgemeint sind.</w:t>
      </w:r>
    </w:p>
    <w:p w14:paraId="63BE76D6" w14:textId="77777777" w:rsidR="00CB3FDD" w:rsidRPr="00CB3FDD" w:rsidRDefault="00CB3FDD" w:rsidP="00CB3FDD">
      <w:pPr>
        <w:pStyle w:val="berschrift2"/>
        <w:rPr>
          <w:sz w:val="22"/>
          <w:szCs w:val="22"/>
        </w:rPr>
      </w:pPr>
      <w:bookmarkStart w:id="103" w:name="_Toc161749178"/>
      <w:r w:rsidRPr="00CB3FDD">
        <w:rPr>
          <w:sz w:val="22"/>
          <w:szCs w:val="22"/>
        </w:rPr>
        <w:t>Artikel 6a</w:t>
      </w:r>
      <w:bookmarkEnd w:id="103"/>
      <w:r w:rsidRPr="00CB3FDD">
        <w:rPr>
          <w:sz w:val="22"/>
          <w:szCs w:val="22"/>
        </w:rPr>
        <w:t xml:space="preserve"> </w:t>
      </w:r>
    </w:p>
    <w:p w14:paraId="1CE1CEE7" w14:textId="77777777" w:rsidR="00CB3FDD" w:rsidRPr="00CB3FDD" w:rsidRDefault="00CB3FDD" w:rsidP="00CB3FDD">
      <w:pPr>
        <w:pStyle w:val="berschrift3"/>
        <w:rPr>
          <w:szCs w:val="22"/>
        </w:rPr>
      </w:pPr>
      <w:bookmarkStart w:id="104" w:name="_Toc161749179"/>
      <w:r w:rsidRPr="00CB3FDD">
        <w:rPr>
          <w:szCs w:val="22"/>
        </w:rPr>
        <w:t>Absatz 1</w:t>
      </w:r>
      <w:bookmarkEnd w:id="104"/>
    </w:p>
    <w:p w14:paraId="1DCB419F" w14:textId="5AF476B5" w:rsidR="00CB3FDD" w:rsidRPr="00CB3FDD" w:rsidRDefault="00CB3FDD" w:rsidP="00CB3FDD">
      <w:pPr>
        <w:pStyle w:val="Textkrper"/>
        <w:rPr>
          <w:sz w:val="22"/>
          <w:lang w:eastAsia="de-CH"/>
        </w:rPr>
      </w:pPr>
      <w:r w:rsidRPr="00CB3FDD">
        <w:rPr>
          <w:sz w:val="22"/>
          <w:lang w:eastAsia="de-CH"/>
        </w:rPr>
        <w:t xml:space="preserve">Siehe dazu Ziff. </w:t>
      </w:r>
      <w:r w:rsidRPr="00CB3FDD">
        <w:rPr>
          <w:sz w:val="22"/>
          <w:lang w:eastAsia="de-CH"/>
        </w:rPr>
        <w:fldChar w:fldCharType="begin"/>
      </w:r>
      <w:r w:rsidRPr="00CB3FDD">
        <w:rPr>
          <w:sz w:val="22"/>
          <w:lang w:eastAsia="de-CH"/>
        </w:rPr>
        <w:instrText xml:space="preserve"> REF _Ref161651031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4.2.2</w:t>
      </w:r>
      <w:r w:rsidRPr="00CB3FDD">
        <w:rPr>
          <w:sz w:val="22"/>
          <w:lang w:eastAsia="de-CH"/>
        </w:rPr>
        <w:fldChar w:fldCharType="end"/>
      </w:r>
      <w:r w:rsidRPr="00CB3FDD">
        <w:rPr>
          <w:sz w:val="22"/>
          <w:lang w:eastAsia="de-CH"/>
        </w:rPr>
        <w:t xml:space="preserve"> sowie </w:t>
      </w:r>
      <w:r w:rsidRPr="00CB3FDD">
        <w:rPr>
          <w:sz w:val="22"/>
          <w:lang w:eastAsia="de-CH"/>
        </w:rPr>
        <w:fldChar w:fldCharType="begin"/>
      </w:r>
      <w:r w:rsidRPr="00CB3FDD">
        <w:rPr>
          <w:sz w:val="22"/>
          <w:lang w:eastAsia="de-CH"/>
        </w:rPr>
        <w:instrText xml:space="preserve"> REF _Ref161724722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4.3</w:t>
      </w:r>
      <w:r w:rsidRPr="00CB3FDD">
        <w:rPr>
          <w:sz w:val="22"/>
          <w:lang w:eastAsia="de-CH"/>
        </w:rPr>
        <w:fldChar w:fldCharType="end"/>
      </w:r>
      <w:r w:rsidRPr="00CB3FDD">
        <w:rPr>
          <w:sz w:val="22"/>
          <w:lang w:eastAsia="de-CH"/>
        </w:rPr>
        <w:t>.</w:t>
      </w:r>
    </w:p>
    <w:p w14:paraId="19A1321A" w14:textId="77777777" w:rsidR="00CB3FDD" w:rsidRPr="00CB3FDD" w:rsidRDefault="00CB3FDD" w:rsidP="00CB3FDD">
      <w:pPr>
        <w:pStyle w:val="berschrift3"/>
        <w:rPr>
          <w:szCs w:val="22"/>
          <w:lang w:eastAsia="de-CH"/>
        </w:rPr>
      </w:pPr>
      <w:bookmarkStart w:id="105" w:name="_Toc161749180"/>
      <w:r w:rsidRPr="00CB3FDD">
        <w:rPr>
          <w:szCs w:val="22"/>
        </w:rPr>
        <w:t>Absatz 2</w:t>
      </w:r>
      <w:bookmarkEnd w:id="105"/>
    </w:p>
    <w:p w14:paraId="580BD1E8" w14:textId="5A11CCD5" w:rsidR="00CB3FDD" w:rsidRPr="00CB3FDD" w:rsidRDefault="00CB3FDD" w:rsidP="00CB3FDD">
      <w:pPr>
        <w:pStyle w:val="Textkrper"/>
        <w:rPr>
          <w:sz w:val="22"/>
          <w:lang w:eastAsia="de-CH"/>
        </w:rPr>
      </w:pPr>
      <w:r w:rsidRPr="00CB3FDD">
        <w:rPr>
          <w:sz w:val="22"/>
          <w:lang w:eastAsia="de-CH"/>
        </w:rPr>
        <w:t xml:space="preserve">Siehe dazu Ziff. </w:t>
      </w:r>
      <w:r w:rsidRPr="00CB3FDD">
        <w:rPr>
          <w:sz w:val="22"/>
          <w:lang w:eastAsia="de-CH"/>
        </w:rPr>
        <w:fldChar w:fldCharType="begin"/>
      </w:r>
      <w:r w:rsidRPr="00CB3FDD">
        <w:rPr>
          <w:sz w:val="22"/>
          <w:lang w:eastAsia="de-CH"/>
        </w:rPr>
        <w:instrText xml:space="preserve"> REF _Ref161652603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4.2.4</w:t>
      </w:r>
      <w:r w:rsidRPr="00CB3FDD">
        <w:rPr>
          <w:sz w:val="22"/>
          <w:lang w:eastAsia="de-CH"/>
        </w:rPr>
        <w:fldChar w:fldCharType="end"/>
      </w:r>
      <w:r w:rsidRPr="00CB3FDD">
        <w:rPr>
          <w:sz w:val="22"/>
          <w:lang w:eastAsia="de-CH"/>
        </w:rPr>
        <w:t>.</w:t>
      </w:r>
    </w:p>
    <w:p w14:paraId="58808F8A" w14:textId="77777777" w:rsidR="00CB3FDD" w:rsidRPr="00CB3FDD" w:rsidRDefault="00CB3FDD" w:rsidP="00CB3FDD">
      <w:pPr>
        <w:pStyle w:val="Textkrper"/>
        <w:rPr>
          <w:sz w:val="22"/>
        </w:rPr>
      </w:pPr>
      <w:r w:rsidRPr="00CB3FDD">
        <w:rPr>
          <w:sz w:val="22"/>
        </w:rPr>
        <w:t>Sofern der Begriff der Diskriminierung beibehalten wird, ist Art. 6a Abs. 2, wie folgt zu ändern:</w:t>
      </w:r>
    </w:p>
    <w:p w14:paraId="570F8E4D" w14:textId="77777777" w:rsidR="00CB3FDD" w:rsidRPr="00CB3FDD" w:rsidRDefault="00CB3FDD" w:rsidP="00CB3FDD">
      <w:pPr>
        <w:pStyle w:val="Textkrper"/>
        <w:rPr>
          <w:sz w:val="22"/>
          <w:lang w:eastAsia="de-CH"/>
        </w:rPr>
      </w:pPr>
      <w:r w:rsidRPr="00CB3FDD">
        <w:rPr>
          <w:sz w:val="22"/>
          <w:lang w:eastAsia="de-CH"/>
        </w:rPr>
        <w:t xml:space="preserve">Arbeitgeberinnen und Arbeitgeber müssen angemessene Vorkehrungen treffen, um Benachteiligungen von Menschen mit Behinderungen zu verhindern, zu verringern oder zu beseitigen. </w:t>
      </w:r>
      <w:r w:rsidRPr="00CB3FDD">
        <w:rPr>
          <w:i/>
          <w:sz w:val="22"/>
        </w:rPr>
        <w:t>Die Weigerung, angemessene Vorkehrungen zu treffen, bedeutet eine Diskriminierung im Sinne von Abs. 1.</w:t>
      </w:r>
    </w:p>
    <w:p w14:paraId="0AD312C4" w14:textId="77777777" w:rsidR="00CB3FDD" w:rsidRPr="00CB3FDD" w:rsidRDefault="00CB3FDD" w:rsidP="00CB3FDD">
      <w:pPr>
        <w:pStyle w:val="berschrift2"/>
        <w:rPr>
          <w:sz w:val="22"/>
          <w:szCs w:val="22"/>
          <w:lang w:eastAsia="de-CH"/>
        </w:rPr>
      </w:pPr>
      <w:bookmarkStart w:id="106" w:name="_Toc161749181"/>
      <w:r w:rsidRPr="00CB3FDD">
        <w:rPr>
          <w:sz w:val="22"/>
          <w:szCs w:val="22"/>
        </w:rPr>
        <w:t>Artikel 8</w:t>
      </w:r>
      <w:bookmarkEnd w:id="106"/>
      <w:r w:rsidRPr="00CB3FDD">
        <w:rPr>
          <w:sz w:val="22"/>
          <w:szCs w:val="22"/>
        </w:rPr>
        <w:t xml:space="preserve"> </w:t>
      </w:r>
    </w:p>
    <w:p w14:paraId="5E83A72B" w14:textId="77777777" w:rsidR="00CB3FDD" w:rsidRPr="00CB3FDD" w:rsidRDefault="00CB3FDD" w:rsidP="00CB3FDD">
      <w:pPr>
        <w:pStyle w:val="berschrift3"/>
        <w:rPr>
          <w:szCs w:val="22"/>
        </w:rPr>
      </w:pPr>
      <w:bookmarkStart w:id="107" w:name="_Toc161749182"/>
      <w:r w:rsidRPr="00CB3FDD">
        <w:rPr>
          <w:szCs w:val="22"/>
        </w:rPr>
        <w:t>Absatz 3 und Absatz 4</w:t>
      </w:r>
      <w:bookmarkEnd w:id="107"/>
    </w:p>
    <w:p w14:paraId="7BB0FEC6" w14:textId="3250CECE" w:rsidR="00CB3FDD" w:rsidRPr="00CB3FDD" w:rsidRDefault="00CB3FDD" w:rsidP="00CB3FDD">
      <w:pPr>
        <w:pStyle w:val="Textkrper"/>
        <w:rPr>
          <w:sz w:val="22"/>
        </w:rPr>
      </w:pPr>
      <w:r w:rsidRPr="00CB3FDD">
        <w:rPr>
          <w:sz w:val="22"/>
        </w:rPr>
        <w:t xml:space="preserve">Dass auch Private Anbieter von öffentlich-zugänglichen Dienstleistungen neu verpflichtet werden können, eine Diskriminierung im Einzelfall zu beseitigen, verhindern oder verringern, kann aus Sicht von </w:t>
      </w:r>
      <w:r w:rsidR="00E93B6D">
        <w:rPr>
          <w:sz w:val="22"/>
        </w:rPr>
        <w:t>Pro Infirmis</w:t>
      </w:r>
      <w:r w:rsidRPr="00CB3FDD">
        <w:rPr>
          <w:sz w:val="22"/>
        </w:rPr>
        <w:t xml:space="preserve"> nur begrüsst und unterstützt werden. Ob dieser greifen und zu einer tatsächlichen Verbesserung der tatsächlichen Gleichstellung von Menschen mit Behinderungen führen wird, ist allerdings fraglich (siehe dazu Ziff. </w:t>
      </w:r>
      <w:r w:rsidRPr="00CB3FDD">
        <w:rPr>
          <w:sz w:val="22"/>
        </w:rPr>
        <w:fldChar w:fldCharType="begin"/>
      </w:r>
      <w:r w:rsidRPr="00CB3FDD">
        <w:rPr>
          <w:sz w:val="22"/>
        </w:rPr>
        <w:instrText xml:space="preserve"> REF _Ref161560698 \r \h </w:instrText>
      </w:r>
      <w:r>
        <w:rPr>
          <w:sz w:val="22"/>
        </w:rPr>
        <w:instrText xml:space="preserve"> \* MERGEFORMAT </w:instrText>
      </w:r>
      <w:r w:rsidRPr="00CB3FDD">
        <w:rPr>
          <w:sz w:val="22"/>
        </w:rPr>
      </w:r>
      <w:r w:rsidRPr="00CB3FDD">
        <w:rPr>
          <w:sz w:val="22"/>
        </w:rPr>
        <w:fldChar w:fldCharType="separate"/>
      </w:r>
      <w:r w:rsidR="00663FF0">
        <w:rPr>
          <w:sz w:val="22"/>
        </w:rPr>
        <w:t>4.2</w:t>
      </w:r>
      <w:r w:rsidRPr="00CB3FDD">
        <w:rPr>
          <w:sz w:val="22"/>
        </w:rPr>
        <w:fldChar w:fldCharType="end"/>
      </w:r>
      <w:r w:rsidRPr="00CB3FDD">
        <w:rPr>
          <w:sz w:val="22"/>
        </w:rPr>
        <w:t>, mit entsprechenden Vorschlägen).</w:t>
      </w:r>
    </w:p>
    <w:p w14:paraId="502AF02F" w14:textId="77777777" w:rsidR="00CB3FDD" w:rsidRPr="00CB3FDD" w:rsidRDefault="00CB3FDD" w:rsidP="00CB3FDD">
      <w:pPr>
        <w:pStyle w:val="berschrift2"/>
        <w:rPr>
          <w:sz w:val="22"/>
          <w:szCs w:val="22"/>
        </w:rPr>
      </w:pPr>
      <w:bookmarkStart w:id="108" w:name="_Toc161749183"/>
      <w:r w:rsidRPr="00CB3FDD">
        <w:rPr>
          <w:sz w:val="22"/>
          <w:szCs w:val="22"/>
        </w:rPr>
        <w:t>Artikel 8a</w:t>
      </w:r>
      <w:bookmarkEnd w:id="108"/>
      <w:r w:rsidRPr="00CB3FDD">
        <w:rPr>
          <w:sz w:val="22"/>
          <w:szCs w:val="22"/>
        </w:rPr>
        <w:t xml:space="preserve"> </w:t>
      </w:r>
    </w:p>
    <w:p w14:paraId="1A4D1777" w14:textId="77777777" w:rsidR="00CB3FDD" w:rsidRPr="00CB3FDD" w:rsidRDefault="00CB3FDD" w:rsidP="00CB3FDD">
      <w:pPr>
        <w:pStyle w:val="berschrift3"/>
        <w:rPr>
          <w:szCs w:val="22"/>
        </w:rPr>
      </w:pPr>
      <w:bookmarkStart w:id="109" w:name="_Toc161749184"/>
      <w:r w:rsidRPr="00CB3FDD">
        <w:rPr>
          <w:szCs w:val="22"/>
        </w:rPr>
        <w:t>Absatz 1</w:t>
      </w:r>
      <w:bookmarkEnd w:id="109"/>
    </w:p>
    <w:p w14:paraId="1A89E249" w14:textId="77777777" w:rsidR="00CB3FDD" w:rsidRPr="00CB3FDD" w:rsidRDefault="00CB3FDD" w:rsidP="00CB3FDD">
      <w:pPr>
        <w:pStyle w:val="Textkrper"/>
        <w:rPr>
          <w:sz w:val="22"/>
        </w:rPr>
      </w:pPr>
      <w:r w:rsidRPr="00CB3FDD">
        <w:rPr>
          <w:sz w:val="22"/>
        </w:rPr>
        <w:t>In Art. 8a müsste die Verpflichtung von Arbeitgebenden, einen Arbeitnehmer oder eine Arbeitnehmerin, der/die während des Arbeitsverhältnisses von einer Behinderung neu betroffen wird, soweit als möglich weiter zu beschäftigen (angemessene Vorkehrung mit dem Ziel der Weiteranstellung), zum Ausdruck gebracht werden. Dies ist mit den Formulierungen von Abs. 1 und 4 aktuell nicht genügend sichergestellt.</w:t>
      </w:r>
    </w:p>
    <w:p w14:paraId="36BACAE2" w14:textId="77777777" w:rsidR="00CB3FDD" w:rsidRPr="00CB3FDD" w:rsidRDefault="00CB3FDD" w:rsidP="00CB3FDD">
      <w:pPr>
        <w:pStyle w:val="berschrift3"/>
        <w:rPr>
          <w:szCs w:val="22"/>
        </w:rPr>
      </w:pPr>
      <w:bookmarkStart w:id="110" w:name="_Toc161749185"/>
      <w:r w:rsidRPr="00CB3FDD">
        <w:rPr>
          <w:szCs w:val="22"/>
        </w:rPr>
        <w:t>Absatz 2</w:t>
      </w:r>
      <w:bookmarkEnd w:id="110"/>
    </w:p>
    <w:p w14:paraId="37061B11" w14:textId="77777777" w:rsidR="00CB3FDD" w:rsidRPr="00CB3FDD" w:rsidRDefault="00CB3FDD" w:rsidP="00CB3FDD">
      <w:pPr>
        <w:pStyle w:val="Textkrper"/>
        <w:rPr>
          <w:sz w:val="22"/>
          <w:lang w:eastAsia="de-CH"/>
        </w:rPr>
      </w:pPr>
      <w:r w:rsidRPr="00CB3FDD">
        <w:rPr>
          <w:sz w:val="22"/>
          <w:lang w:eastAsia="de-CH"/>
        </w:rPr>
        <w:t>Es ist nicht nachvollziehbar, wieso der VE-BehiG keine Bestimmung analog zu Art. 10 GlG beinhaltet. Dieser gewährleistet einen Kündigungsschutz für den Fall, dass die Kündigung des Arbeitsverhältnisses durch die Arbeitgeberin oder den Arbeitgeber ohne begründeten Anlass auf eine innerbetriebliche Beschwerde über eine Diskriminierung oder auf die Anrufung der Schlichtungsstelle oder des Gerichts durch die Arbeitnehmerin oder den Arbeitnehmer folgt. Andere Elemente des Kündigungsschutzes des Gleichstellungsgesetzes, wie etwa die Beweislasterleichterung im Verfahren, werden von der Vorlage aufgegriffen. Hier werden Abstufungen innerhalb diskriminierten Gruppierungen vorgenommen, für welche sich keinerlei Begründungen finden lassen.</w:t>
      </w:r>
    </w:p>
    <w:p w14:paraId="00492249" w14:textId="77777777" w:rsidR="00CB3FDD" w:rsidRPr="00CB3FDD" w:rsidRDefault="00CB3FDD" w:rsidP="00CB3FDD">
      <w:pPr>
        <w:pStyle w:val="berschrift3"/>
        <w:rPr>
          <w:szCs w:val="22"/>
          <w:lang w:eastAsia="de-CH"/>
        </w:rPr>
      </w:pPr>
      <w:bookmarkStart w:id="111" w:name="_Toc161749186"/>
      <w:r w:rsidRPr="00CB3FDD">
        <w:rPr>
          <w:szCs w:val="22"/>
        </w:rPr>
        <w:t>Absatz 4</w:t>
      </w:r>
      <w:bookmarkEnd w:id="111"/>
    </w:p>
    <w:p w14:paraId="10B50C76" w14:textId="77777777" w:rsidR="00CB3FDD" w:rsidRPr="00CB3FDD" w:rsidRDefault="00CB3FDD" w:rsidP="00CB3FDD">
      <w:pPr>
        <w:pStyle w:val="Textkrper"/>
        <w:rPr>
          <w:sz w:val="22"/>
          <w:lang w:eastAsia="de-CH"/>
        </w:rPr>
      </w:pPr>
      <w:r w:rsidRPr="00CB3FDD">
        <w:rPr>
          <w:sz w:val="22"/>
          <w:lang w:eastAsia="de-CH"/>
        </w:rPr>
        <w:t>Siehe Abs. 1</w:t>
      </w:r>
    </w:p>
    <w:p w14:paraId="0CABB85B" w14:textId="77777777" w:rsidR="00CB3FDD" w:rsidRPr="00CB3FDD" w:rsidRDefault="00CB3FDD" w:rsidP="00CB3FDD">
      <w:pPr>
        <w:pStyle w:val="berschrift2"/>
        <w:rPr>
          <w:sz w:val="22"/>
          <w:szCs w:val="22"/>
          <w:lang w:eastAsia="de-CH"/>
        </w:rPr>
      </w:pPr>
      <w:bookmarkStart w:id="112" w:name="_Toc161749187"/>
      <w:r w:rsidRPr="00CB3FDD">
        <w:rPr>
          <w:sz w:val="22"/>
          <w:szCs w:val="22"/>
        </w:rPr>
        <w:lastRenderedPageBreak/>
        <w:t>Artikel 9</w:t>
      </w:r>
      <w:bookmarkEnd w:id="112"/>
      <w:r w:rsidRPr="00CB3FDD">
        <w:rPr>
          <w:sz w:val="22"/>
          <w:szCs w:val="22"/>
        </w:rPr>
        <w:t xml:space="preserve"> </w:t>
      </w:r>
    </w:p>
    <w:p w14:paraId="32CC205B" w14:textId="5261DA36" w:rsidR="00CB3FDD" w:rsidRPr="00CB3FDD" w:rsidRDefault="00CB3FDD" w:rsidP="00CB3FDD">
      <w:pPr>
        <w:pStyle w:val="Textkrper"/>
        <w:rPr>
          <w:sz w:val="22"/>
          <w:lang w:eastAsia="de-CH"/>
        </w:rPr>
      </w:pPr>
      <w:r w:rsidRPr="00CB3FDD">
        <w:rPr>
          <w:sz w:val="22"/>
          <w:lang w:eastAsia="de-CH"/>
        </w:rPr>
        <w:t xml:space="preserve">Siehe Ziff. </w:t>
      </w:r>
      <w:r w:rsidRPr="00CB3FDD">
        <w:rPr>
          <w:sz w:val="22"/>
          <w:lang w:eastAsia="de-CH"/>
        </w:rPr>
        <w:fldChar w:fldCharType="begin"/>
      </w:r>
      <w:r w:rsidRPr="00CB3FDD">
        <w:rPr>
          <w:sz w:val="22"/>
          <w:lang w:eastAsia="de-CH"/>
        </w:rPr>
        <w:instrText xml:space="preserve"> REF _Ref161573192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4.5</w:t>
      </w:r>
      <w:r w:rsidRPr="00CB3FDD">
        <w:rPr>
          <w:sz w:val="22"/>
          <w:lang w:eastAsia="de-CH"/>
        </w:rPr>
        <w:fldChar w:fldCharType="end"/>
      </w:r>
      <w:r w:rsidRPr="00CB3FDD">
        <w:rPr>
          <w:sz w:val="22"/>
          <w:lang w:eastAsia="de-CH"/>
        </w:rPr>
        <w:t>.</w:t>
      </w:r>
    </w:p>
    <w:p w14:paraId="5C020FEA" w14:textId="77777777" w:rsidR="00CB3FDD" w:rsidRPr="00CB3FDD" w:rsidRDefault="00CB3FDD" w:rsidP="00CB3FDD">
      <w:pPr>
        <w:pStyle w:val="berschrift2"/>
        <w:rPr>
          <w:sz w:val="22"/>
          <w:szCs w:val="22"/>
          <w:lang w:eastAsia="de-CH"/>
        </w:rPr>
      </w:pPr>
      <w:bookmarkStart w:id="113" w:name="_Toc161749188"/>
      <w:r w:rsidRPr="00CB3FDD">
        <w:rPr>
          <w:sz w:val="22"/>
          <w:szCs w:val="22"/>
        </w:rPr>
        <w:t>Artikel 9b</w:t>
      </w:r>
      <w:bookmarkEnd w:id="113"/>
      <w:r w:rsidRPr="00CB3FDD">
        <w:rPr>
          <w:sz w:val="22"/>
          <w:szCs w:val="22"/>
        </w:rPr>
        <w:t xml:space="preserve"> </w:t>
      </w:r>
    </w:p>
    <w:p w14:paraId="562973A6" w14:textId="77777777" w:rsidR="00CB3FDD" w:rsidRPr="00CB3FDD" w:rsidRDefault="00CB3FDD" w:rsidP="00CB3FDD">
      <w:pPr>
        <w:pStyle w:val="Textkrper"/>
        <w:rPr>
          <w:sz w:val="22"/>
          <w:lang w:eastAsia="de-CH"/>
        </w:rPr>
      </w:pPr>
      <w:r w:rsidRPr="00CB3FDD">
        <w:rPr>
          <w:sz w:val="22"/>
          <w:lang w:eastAsia="de-CH"/>
        </w:rPr>
        <w:t>Vorgeschlagene Ergänzung sehr zu begrüssen, von zentraler Bedeutung. Muss auch auf die anderen Verfahren nach BehiG ausgedehnt werden.</w:t>
      </w:r>
    </w:p>
    <w:p w14:paraId="0F4699E0" w14:textId="77777777" w:rsidR="00CB3FDD" w:rsidRPr="00CB3FDD" w:rsidRDefault="00CB3FDD" w:rsidP="00CB3FDD">
      <w:pPr>
        <w:pStyle w:val="berschrift2"/>
        <w:rPr>
          <w:sz w:val="22"/>
          <w:szCs w:val="22"/>
          <w:lang w:eastAsia="de-CH"/>
        </w:rPr>
      </w:pPr>
      <w:bookmarkStart w:id="114" w:name="_Toc161749189"/>
      <w:r w:rsidRPr="00CB3FDD">
        <w:rPr>
          <w:sz w:val="22"/>
          <w:szCs w:val="22"/>
        </w:rPr>
        <w:t>Artikel 12a</w:t>
      </w:r>
      <w:bookmarkEnd w:id="114"/>
      <w:r w:rsidRPr="00CB3FDD">
        <w:rPr>
          <w:sz w:val="22"/>
          <w:szCs w:val="22"/>
        </w:rPr>
        <w:t xml:space="preserve"> </w:t>
      </w:r>
    </w:p>
    <w:p w14:paraId="2289CF70" w14:textId="77777777" w:rsidR="00CB3FDD" w:rsidRPr="00CB3FDD" w:rsidRDefault="00CB3FDD" w:rsidP="00CB3FDD">
      <w:pPr>
        <w:pStyle w:val="Textkrper"/>
        <w:rPr>
          <w:sz w:val="22"/>
        </w:rPr>
      </w:pPr>
      <w:r w:rsidRPr="00CB3FDD">
        <w:rPr>
          <w:sz w:val="22"/>
        </w:rPr>
        <w:t xml:space="preserve">Siehe die Bemerkungen und Vorschläge zu Art. 2 Abs. 6. </w:t>
      </w:r>
    </w:p>
    <w:p w14:paraId="1BE7C3D9" w14:textId="77777777" w:rsidR="00CB3FDD" w:rsidRPr="00CB3FDD" w:rsidRDefault="00CB3FDD" w:rsidP="00CB3FDD">
      <w:pPr>
        <w:pStyle w:val="Textkrper"/>
        <w:rPr>
          <w:sz w:val="22"/>
        </w:rPr>
      </w:pPr>
      <w:r w:rsidRPr="00CB3FDD">
        <w:rPr>
          <w:sz w:val="22"/>
        </w:rPr>
        <w:t>Grundsätzlich ist bei der/den Bestimmung/en zur Verhältnismässigkeit einen zusätzlichen Absatz einzufügen. Dieser soll sicherstellen, dass die Massnahmen und die Planung, welche das Gemeinwesen und der Private getätigt (oder eben nicht getätigt) haben zum Schutz der Diskriminierung von Menschen mit Behinderungen, bei der Abwägung berücksichtigt werden. Dadurch soll vor dem Hintergrund der Erfahrungen insbesondere in den Bereich ÖV und Bau vermieden werden, dass 20 Jahre nach Inkrafttreten eines Gesetzes mit den zu hohen Kosten einer Massnahme operiert werden kann, um diese zu vermeiden. Dies obschon die rechtzeitige Berücksichtigung der Barrierefreiheit in einem Prozessablauf nachträgliche, kostspielige Anpassungen vermeidet.</w:t>
      </w:r>
    </w:p>
    <w:p w14:paraId="25510C3D" w14:textId="77777777" w:rsidR="00CB3FDD" w:rsidRPr="00CB3FDD" w:rsidRDefault="00CB3FDD" w:rsidP="00CB3FDD">
      <w:pPr>
        <w:pStyle w:val="berschrift2"/>
        <w:rPr>
          <w:sz w:val="22"/>
          <w:szCs w:val="22"/>
        </w:rPr>
      </w:pPr>
      <w:bookmarkStart w:id="115" w:name="_Toc161749190"/>
      <w:r w:rsidRPr="00CB3FDD">
        <w:rPr>
          <w:sz w:val="22"/>
          <w:szCs w:val="22"/>
        </w:rPr>
        <w:t>Artikel 12b-12c sowie Änderung Sprachengesetz gemäss II</w:t>
      </w:r>
      <w:bookmarkEnd w:id="115"/>
    </w:p>
    <w:p w14:paraId="314F40AD" w14:textId="77777777" w:rsidR="00CB3FDD" w:rsidRPr="00CB3FDD" w:rsidRDefault="00CB3FDD" w:rsidP="00CB3FDD">
      <w:pPr>
        <w:pStyle w:val="Textkrper"/>
        <w:rPr>
          <w:sz w:val="22"/>
          <w:lang w:eastAsia="de-CH"/>
        </w:rPr>
      </w:pPr>
      <w:r w:rsidRPr="00CB3FDD">
        <w:rPr>
          <w:sz w:val="22"/>
          <w:lang w:eastAsia="de-CH"/>
        </w:rPr>
        <w:t>Es wird auf die Stellungnahme des Schweizerischen Gehörlosenbund verwiesen.</w:t>
      </w:r>
    </w:p>
    <w:p w14:paraId="4870EF62" w14:textId="77777777" w:rsidR="00CB3FDD" w:rsidRPr="00CB3FDD" w:rsidRDefault="00CB3FDD" w:rsidP="00CB3FDD">
      <w:pPr>
        <w:pStyle w:val="berschrift2"/>
        <w:rPr>
          <w:sz w:val="22"/>
          <w:szCs w:val="22"/>
          <w:lang w:eastAsia="de-CH"/>
        </w:rPr>
      </w:pPr>
      <w:bookmarkStart w:id="116" w:name="_Toc161749191"/>
      <w:r w:rsidRPr="00CB3FDD">
        <w:rPr>
          <w:sz w:val="22"/>
          <w:szCs w:val="22"/>
        </w:rPr>
        <w:t>Artikel 13 Abs. 1 und 1</w:t>
      </w:r>
      <w:r w:rsidRPr="00CB3FDD">
        <w:rPr>
          <w:sz w:val="22"/>
          <w:szCs w:val="22"/>
          <w:vertAlign w:val="superscript"/>
        </w:rPr>
        <w:t>bis</w:t>
      </w:r>
      <w:bookmarkEnd w:id="116"/>
      <w:r w:rsidRPr="00CB3FDD">
        <w:rPr>
          <w:sz w:val="22"/>
          <w:szCs w:val="22"/>
        </w:rPr>
        <w:t xml:space="preserve"> </w:t>
      </w:r>
    </w:p>
    <w:p w14:paraId="2F9C67D5" w14:textId="1EA2640F" w:rsidR="00CB3FDD" w:rsidRPr="00CB3FDD" w:rsidRDefault="00CB3FDD" w:rsidP="00CB3FDD">
      <w:pPr>
        <w:pStyle w:val="Textkrper"/>
        <w:rPr>
          <w:sz w:val="22"/>
          <w:lang w:eastAsia="de-CH"/>
        </w:rPr>
      </w:pPr>
      <w:r w:rsidRPr="00CB3FDD">
        <w:rPr>
          <w:sz w:val="22"/>
          <w:lang w:eastAsia="de-CH"/>
        </w:rPr>
        <w:t xml:space="preserve">Siehe Ziff. </w:t>
      </w:r>
      <w:r w:rsidRPr="00CB3FDD">
        <w:rPr>
          <w:sz w:val="22"/>
          <w:lang w:eastAsia="de-CH"/>
        </w:rPr>
        <w:fldChar w:fldCharType="begin"/>
      </w:r>
      <w:r w:rsidRPr="00CB3FDD">
        <w:rPr>
          <w:sz w:val="22"/>
          <w:lang w:eastAsia="de-CH"/>
        </w:rPr>
        <w:instrText xml:space="preserve"> REF _Ref161724969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4.3</w:t>
      </w:r>
      <w:r w:rsidRPr="00CB3FDD">
        <w:rPr>
          <w:sz w:val="22"/>
          <w:lang w:eastAsia="de-CH"/>
        </w:rPr>
        <w:fldChar w:fldCharType="end"/>
      </w:r>
      <w:r w:rsidRPr="00CB3FDD">
        <w:rPr>
          <w:sz w:val="22"/>
          <w:lang w:eastAsia="de-CH"/>
        </w:rPr>
        <w:t>.</w:t>
      </w:r>
    </w:p>
    <w:p w14:paraId="1E481911" w14:textId="77777777" w:rsidR="00CB3FDD" w:rsidRPr="00CB3FDD" w:rsidRDefault="00CB3FDD" w:rsidP="00CB3FDD">
      <w:pPr>
        <w:pStyle w:val="berschrift2"/>
        <w:rPr>
          <w:sz w:val="22"/>
          <w:szCs w:val="22"/>
          <w:lang w:eastAsia="de-CH"/>
        </w:rPr>
      </w:pPr>
      <w:bookmarkStart w:id="117" w:name="_Toc161749192"/>
      <w:r w:rsidRPr="00CB3FDD">
        <w:rPr>
          <w:sz w:val="22"/>
          <w:szCs w:val="22"/>
        </w:rPr>
        <w:t>Artikel 14</w:t>
      </w:r>
      <w:bookmarkEnd w:id="117"/>
      <w:r w:rsidRPr="00CB3FDD">
        <w:rPr>
          <w:sz w:val="22"/>
          <w:szCs w:val="22"/>
        </w:rPr>
        <w:t xml:space="preserve"> </w:t>
      </w:r>
    </w:p>
    <w:p w14:paraId="4EF66DFA" w14:textId="38BB9748" w:rsidR="00CB3FDD" w:rsidRPr="00CB3FDD" w:rsidRDefault="00CB3FDD" w:rsidP="00CB3FDD">
      <w:pPr>
        <w:pStyle w:val="Textkrper"/>
        <w:rPr>
          <w:sz w:val="22"/>
          <w:lang w:eastAsia="de-CH"/>
        </w:rPr>
      </w:pPr>
      <w:r w:rsidRPr="00CB3FDD">
        <w:rPr>
          <w:sz w:val="22"/>
          <w:lang w:eastAsia="de-CH"/>
        </w:rPr>
        <w:t xml:space="preserve">Siehe Ziff. </w:t>
      </w:r>
      <w:r w:rsidRPr="00CB3FDD">
        <w:rPr>
          <w:sz w:val="22"/>
          <w:highlight w:val="cyan"/>
          <w:lang w:eastAsia="de-CH"/>
        </w:rPr>
        <w:fldChar w:fldCharType="begin"/>
      </w:r>
      <w:r w:rsidRPr="00CB3FDD">
        <w:rPr>
          <w:sz w:val="22"/>
          <w:lang w:eastAsia="de-CH"/>
        </w:rPr>
        <w:instrText xml:space="preserve"> REF _Ref161736570 \r \h </w:instrText>
      </w:r>
      <w:r>
        <w:rPr>
          <w:sz w:val="22"/>
          <w:highlight w:val="cyan"/>
          <w:lang w:eastAsia="de-CH"/>
        </w:rPr>
        <w:instrText xml:space="preserve"> \* MERGEFORMAT </w:instrText>
      </w:r>
      <w:r w:rsidRPr="00CB3FDD">
        <w:rPr>
          <w:sz w:val="22"/>
          <w:highlight w:val="cyan"/>
          <w:lang w:eastAsia="de-CH"/>
        </w:rPr>
      </w:r>
      <w:r w:rsidRPr="00CB3FDD">
        <w:rPr>
          <w:sz w:val="22"/>
          <w:highlight w:val="cyan"/>
          <w:lang w:eastAsia="de-CH"/>
        </w:rPr>
        <w:fldChar w:fldCharType="separate"/>
      </w:r>
      <w:r w:rsidR="00663FF0">
        <w:rPr>
          <w:sz w:val="22"/>
          <w:lang w:eastAsia="de-CH"/>
        </w:rPr>
        <w:t>4.4</w:t>
      </w:r>
      <w:r w:rsidRPr="00CB3FDD">
        <w:rPr>
          <w:sz w:val="22"/>
          <w:highlight w:val="cyan"/>
          <w:lang w:eastAsia="de-CH"/>
        </w:rPr>
        <w:fldChar w:fldCharType="end"/>
      </w:r>
      <w:r w:rsidRPr="00CB3FDD">
        <w:rPr>
          <w:sz w:val="22"/>
          <w:lang w:eastAsia="de-CH"/>
        </w:rPr>
        <w:t>.</w:t>
      </w:r>
    </w:p>
    <w:p w14:paraId="5EE5F0A0" w14:textId="77777777" w:rsidR="00CB3FDD" w:rsidRPr="00CB3FDD" w:rsidRDefault="00CB3FDD" w:rsidP="00CB3FDD">
      <w:pPr>
        <w:pStyle w:val="berschrift2"/>
        <w:rPr>
          <w:sz w:val="22"/>
          <w:szCs w:val="22"/>
          <w:lang w:eastAsia="de-CH"/>
        </w:rPr>
      </w:pPr>
      <w:bookmarkStart w:id="118" w:name="_Toc161749193"/>
      <w:r w:rsidRPr="00CB3FDD">
        <w:rPr>
          <w:sz w:val="22"/>
          <w:szCs w:val="22"/>
        </w:rPr>
        <w:t>Artikel 20</w:t>
      </w:r>
      <w:bookmarkEnd w:id="118"/>
    </w:p>
    <w:p w14:paraId="364D1E0A" w14:textId="77777777" w:rsidR="00CB3FDD" w:rsidRPr="00CB3FDD" w:rsidRDefault="00CB3FDD" w:rsidP="00CB3FDD">
      <w:pPr>
        <w:pStyle w:val="Textkrper"/>
        <w:rPr>
          <w:sz w:val="22"/>
          <w:lang w:eastAsia="de-CH"/>
        </w:rPr>
      </w:pPr>
      <w:r w:rsidRPr="00CB3FDD">
        <w:rPr>
          <w:sz w:val="22"/>
          <w:lang w:eastAsia="de-CH"/>
        </w:rPr>
        <w:t xml:space="preserve">Die vorgeschlagene Anpassung von Art. 20 BehiG ist rein kosmetischer Natur. Stattdessen muss die BehiG-Revision dazu genutzt werden, die </w:t>
      </w:r>
      <w:r w:rsidRPr="00CB3FDD">
        <w:rPr>
          <w:b/>
          <w:sz w:val="22"/>
          <w:lang w:eastAsia="de-CH"/>
        </w:rPr>
        <w:t>Weichen für eine Umsetzung von Art. 24 BRK zustellen</w:t>
      </w:r>
      <w:r w:rsidRPr="00CB3FDD">
        <w:rPr>
          <w:sz w:val="22"/>
          <w:lang w:eastAsia="de-CH"/>
        </w:rPr>
        <w:t xml:space="preserve">: </w:t>
      </w:r>
    </w:p>
    <w:p w14:paraId="47863F66" w14:textId="77777777" w:rsidR="00CB3FDD" w:rsidRPr="00CB3FDD" w:rsidRDefault="00CB3FDD" w:rsidP="00CB3FDD">
      <w:pPr>
        <w:pStyle w:val="Textkrper"/>
        <w:numPr>
          <w:ilvl w:val="0"/>
          <w:numId w:val="42"/>
        </w:numPr>
        <w:spacing w:line="280" w:lineRule="exact"/>
        <w:jc w:val="both"/>
        <w:rPr>
          <w:sz w:val="22"/>
          <w:lang w:eastAsia="de-CH"/>
        </w:rPr>
      </w:pPr>
      <w:r w:rsidRPr="00CB3FDD">
        <w:rPr>
          <w:sz w:val="22"/>
          <w:lang w:eastAsia="de-CH"/>
        </w:rPr>
        <w:t xml:space="preserve">Mit Bezug auf diejenigen </w:t>
      </w:r>
      <w:r w:rsidRPr="00CB3FDD">
        <w:rPr>
          <w:b/>
          <w:sz w:val="22"/>
          <w:lang w:eastAsia="de-CH"/>
        </w:rPr>
        <w:t>Bildungsbereiche, für die der Bund zuständig</w:t>
      </w:r>
      <w:r w:rsidRPr="00CB3FDD">
        <w:rPr>
          <w:sz w:val="22"/>
          <w:lang w:eastAsia="de-CH"/>
        </w:rPr>
        <w:t xml:space="preserve"> ist (u.a. ETH, Berufsbildung) müssen die objektivrechtlichen Verpflichtungen des Bundes im BehiG </w:t>
      </w:r>
      <w:r w:rsidRPr="00CB3FDD">
        <w:rPr>
          <w:b/>
          <w:sz w:val="22"/>
          <w:lang w:eastAsia="de-CH"/>
        </w:rPr>
        <w:t>verbindlich festgehalten und konkretisiert</w:t>
      </w:r>
      <w:r w:rsidRPr="00CB3FDD">
        <w:rPr>
          <w:sz w:val="22"/>
          <w:lang w:eastAsia="de-CH"/>
        </w:rPr>
        <w:t xml:space="preserve"> werden. </w:t>
      </w:r>
    </w:p>
    <w:p w14:paraId="043AF6C3" w14:textId="77777777" w:rsidR="00CB3FDD" w:rsidRPr="00CB3FDD" w:rsidRDefault="00CB3FDD" w:rsidP="00CB3FDD">
      <w:pPr>
        <w:pStyle w:val="Textkrper"/>
        <w:numPr>
          <w:ilvl w:val="0"/>
          <w:numId w:val="42"/>
        </w:numPr>
        <w:spacing w:line="280" w:lineRule="exact"/>
        <w:jc w:val="both"/>
        <w:rPr>
          <w:sz w:val="22"/>
          <w:lang w:eastAsia="de-CH"/>
        </w:rPr>
      </w:pPr>
      <w:r w:rsidRPr="00CB3FDD">
        <w:rPr>
          <w:sz w:val="22"/>
          <w:lang w:eastAsia="de-CH"/>
        </w:rPr>
        <w:t xml:space="preserve">Mit Bezug auf Hochschulen und die anderen Institutionen des Hochschulbereichs von Bund und Kantonen ist Art. 30 des Bundesgesetzes über die Förderung der Hochschulen und die Koordination im schweizerischen Hochschulbereich (Hochschulförderungs- und -koordinationsgesetz, HFKG, SR 414.20) zu ergänzen: </w:t>
      </w:r>
    </w:p>
    <w:p w14:paraId="65194DFC"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720"/>
        <w:rPr>
          <w:b/>
          <w:sz w:val="22"/>
          <w:lang w:eastAsia="de-CH"/>
        </w:rPr>
      </w:pPr>
      <w:r w:rsidRPr="00CB3FDD">
        <w:rPr>
          <w:b/>
          <w:sz w:val="22"/>
          <w:lang w:eastAsia="de-CH"/>
        </w:rPr>
        <w:t>Anpassungsvorschlag</w:t>
      </w:r>
    </w:p>
    <w:p w14:paraId="16D1B0C3"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720"/>
        <w:rPr>
          <w:b/>
          <w:sz w:val="22"/>
          <w:lang w:eastAsia="de-CH"/>
        </w:rPr>
      </w:pPr>
      <w:r w:rsidRPr="00CB3FDD">
        <w:rPr>
          <w:b/>
          <w:sz w:val="22"/>
          <w:lang w:eastAsia="de-CH"/>
        </w:rPr>
        <w:lastRenderedPageBreak/>
        <w:t>Bundesgesetzes über die Förderung der Hochschulen und die Koordination im schweizerischen Hochschulbereich (Hochschulförderungs- und -koordinationsgesetz, HFKG, SR 414.20</w:t>
      </w:r>
    </w:p>
    <w:p w14:paraId="0576F81E"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720"/>
        <w:rPr>
          <w:b/>
          <w:sz w:val="22"/>
          <w:lang w:eastAsia="de-CH"/>
        </w:rPr>
      </w:pPr>
      <w:r w:rsidRPr="00CB3FDD">
        <w:rPr>
          <w:b/>
          <w:sz w:val="22"/>
          <w:lang w:eastAsia="de-CH"/>
        </w:rPr>
        <w:t>Art. 30 Voraussetzungen für die institutionelle Akkreditierung</w:t>
      </w:r>
    </w:p>
    <w:p w14:paraId="4019511E"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720"/>
        <w:rPr>
          <w:sz w:val="22"/>
          <w:lang w:eastAsia="de-CH"/>
        </w:rPr>
      </w:pPr>
      <w:r w:rsidRPr="00CB3FDD">
        <w:rPr>
          <w:sz w:val="22"/>
          <w:vertAlign w:val="superscript"/>
          <w:lang w:eastAsia="de-CH"/>
        </w:rPr>
        <w:t>1</w:t>
      </w:r>
      <w:r w:rsidRPr="00CB3FDD">
        <w:rPr>
          <w:sz w:val="22"/>
          <w:lang w:eastAsia="de-CH"/>
        </w:rPr>
        <w:t xml:space="preserve"> Für die institutionelle Akkreditierung gelten die folgenden Voraussetzungen:</w:t>
      </w:r>
    </w:p>
    <w:p w14:paraId="2649CAE9" w14:textId="77777777" w:rsidR="00CB3FDD" w:rsidRPr="00CB3FDD" w:rsidRDefault="00CB3FDD" w:rsidP="00CB3FDD">
      <w:pPr>
        <w:pStyle w:val="Textkrper"/>
        <w:numPr>
          <w:ilvl w:val="0"/>
          <w:numId w:val="43"/>
        </w:numPr>
        <w:pBdr>
          <w:top w:val="single" w:sz="4" w:space="1" w:color="auto"/>
          <w:left w:val="single" w:sz="4" w:space="4" w:color="auto"/>
          <w:bottom w:val="single" w:sz="4" w:space="1" w:color="auto"/>
          <w:right w:val="single" w:sz="4" w:space="4" w:color="auto"/>
        </w:pBdr>
        <w:shd w:val="clear" w:color="auto" w:fill="FFFFFF" w:themeFill="background1"/>
        <w:spacing w:line="280" w:lineRule="exact"/>
        <w:jc w:val="both"/>
        <w:rPr>
          <w:sz w:val="22"/>
          <w:lang w:eastAsia="de-CH"/>
        </w:rPr>
      </w:pPr>
      <w:r w:rsidRPr="00CB3FDD">
        <w:rPr>
          <w:sz w:val="22"/>
          <w:lang w:eastAsia="de-CH"/>
        </w:rPr>
        <w:t>Die Hochschule oder die andere Institution des Hochschulbereichs verfügt über ein Qualitätssicherungssystem, das Gewähr dafür bietet, dass:</w:t>
      </w:r>
    </w:p>
    <w:p w14:paraId="77FA0C68" w14:textId="77777777" w:rsidR="00CB3FDD" w:rsidRPr="00CB3FDD" w:rsidRDefault="00CB3FDD" w:rsidP="00CB3FDD">
      <w:pPr>
        <w:pStyle w:val="Textkrper"/>
        <w:pBdr>
          <w:top w:val="single" w:sz="4" w:space="1" w:color="auto"/>
          <w:left w:val="single" w:sz="4" w:space="4" w:color="auto"/>
          <w:bottom w:val="single" w:sz="4" w:space="1" w:color="auto"/>
          <w:right w:val="single" w:sz="4" w:space="4" w:color="auto"/>
        </w:pBdr>
        <w:shd w:val="clear" w:color="auto" w:fill="FFFFFF" w:themeFill="background1"/>
        <w:ind w:left="720"/>
        <w:rPr>
          <w:sz w:val="22"/>
          <w:lang w:eastAsia="de-CH"/>
        </w:rPr>
      </w:pPr>
      <w:r w:rsidRPr="00CB3FDD">
        <w:rPr>
          <w:sz w:val="22"/>
          <w:lang w:eastAsia="de-CH"/>
        </w:rPr>
        <w:t>(5bis) die Aufgaben so erfüllt werden, dass Menschen mit Behinderungen vor Diskriminierungen aufgrund ihrer Behinderung geschützt und dass die Chancengleichheit und die tatsächliche Gleichstellung von Menschen mit und Menschen ohne Behinderungen gefördert werden.</w:t>
      </w:r>
    </w:p>
    <w:p w14:paraId="4EBAE1B9" w14:textId="1CDFA749" w:rsidR="00CB3FDD" w:rsidRPr="00CB3FDD" w:rsidRDefault="00CB3FDD" w:rsidP="00CB3FDD">
      <w:pPr>
        <w:pStyle w:val="berschrift2"/>
        <w:rPr>
          <w:sz w:val="22"/>
          <w:szCs w:val="22"/>
          <w:lang w:eastAsia="de-CH"/>
        </w:rPr>
      </w:pPr>
      <w:bookmarkStart w:id="119" w:name="_Toc161749194"/>
      <w:r w:rsidRPr="00CB3FDD">
        <w:rPr>
          <w:sz w:val="22"/>
          <w:szCs w:val="22"/>
        </w:rPr>
        <w:t>Artikel 23</w:t>
      </w:r>
      <w:bookmarkEnd w:id="119"/>
      <w:r w:rsidRPr="00CB3FDD">
        <w:rPr>
          <w:sz w:val="22"/>
          <w:szCs w:val="22"/>
        </w:rPr>
        <w:t xml:space="preserve"> </w:t>
      </w:r>
    </w:p>
    <w:p w14:paraId="72725E6E" w14:textId="27F38BFC" w:rsidR="00CB3FDD" w:rsidRPr="00CB3FDD" w:rsidRDefault="00CB3FDD" w:rsidP="00CB3FDD">
      <w:pPr>
        <w:pStyle w:val="Textkrper"/>
        <w:rPr>
          <w:sz w:val="22"/>
          <w:lang w:eastAsia="de-CH"/>
        </w:rPr>
      </w:pPr>
      <w:r w:rsidRPr="00CB3FDD">
        <w:rPr>
          <w:sz w:val="22"/>
          <w:lang w:eastAsia="de-CH"/>
        </w:rPr>
        <w:t xml:space="preserve">Siehe dazu Ziff. </w:t>
      </w:r>
      <w:r w:rsidRPr="00CB3FDD">
        <w:rPr>
          <w:sz w:val="22"/>
          <w:lang w:eastAsia="de-CH"/>
        </w:rPr>
        <w:fldChar w:fldCharType="begin"/>
      </w:r>
      <w:r w:rsidRPr="00CB3FDD">
        <w:rPr>
          <w:sz w:val="22"/>
          <w:lang w:eastAsia="de-CH"/>
        </w:rPr>
        <w:instrText xml:space="preserve"> REF _Ref161590051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3.1</w:t>
      </w:r>
      <w:r w:rsidRPr="00CB3FDD">
        <w:rPr>
          <w:sz w:val="22"/>
          <w:lang w:eastAsia="de-CH"/>
        </w:rPr>
        <w:fldChar w:fldCharType="end"/>
      </w:r>
      <w:r w:rsidRPr="00CB3FDD">
        <w:rPr>
          <w:sz w:val="22"/>
          <w:lang w:eastAsia="de-CH"/>
        </w:rPr>
        <w:t xml:space="preserve">. </w:t>
      </w:r>
    </w:p>
    <w:p w14:paraId="136BC5B0" w14:textId="5B34923B" w:rsidR="0031743D" w:rsidRPr="00CB3FDD" w:rsidRDefault="00CB3FDD" w:rsidP="00CB3FDD">
      <w:pPr>
        <w:pStyle w:val="Textkrper"/>
        <w:rPr>
          <w:sz w:val="22"/>
          <w:lang w:eastAsia="de-CH"/>
        </w:rPr>
      </w:pPr>
      <w:r w:rsidRPr="00CB3FDD">
        <w:rPr>
          <w:sz w:val="22"/>
          <w:lang w:eastAsia="de-CH"/>
        </w:rPr>
        <w:t xml:space="preserve">In den Nachfolgeregelungen, die zur Sicherstellung der Umsetzung dieses Gesetzes im Bereich des öffentlichen Verkehrs zwingend in die Revision zu integrieren sind (dazu Ziff. </w:t>
      </w:r>
      <w:r w:rsidRPr="00CB3FDD">
        <w:rPr>
          <w:sz w:val="22"/>
          <w:lang w:eastAsia="de-CH"/>
        </w:rPr>
        <w:fldChar w:fldCharType="begin"/>
      </w:r>
      <w:r w:rsidRPr="00CB3FDD">
        <w:rPr>
          <w:sz w:val="22"/>
          <w:lang w:eastAsia="de-CH"/>
        </w:rPr>
        <w:instrText xml:space="preserve"> REF _Ref161590051 \r \h </w:instrText>
      </w:r>
      <w:r>
        <w:rPr>
          <w:sz w:val="22"/>
          <w:lang w:eastAsia="de-CH"/>
        </w:rPr>
        <w:instrText xml:space="preserve"> \* MERGEFORMAT </w:instrText>
      </w:r>
      <w:r w:rsidRPr="00CB3FDD">
        <w:rPr>
          <w:sz w:val="22"/>
          <w:lang w:eastAsia="de-CH"/>
        </w:rPr>
      </w:r>
      <w:r w:rsidRPr="00CB3FDD">
        <w:rPr>
          <w:sz w:val="22"/>
          <w:lang w:eastAsia="de-CH"/>
        </w:rPr>
        <w:fldChar w:fldCharType="separate"/>
      </w:r>
      <w:r w:rsidR="00663FF0">
        <w:rPr>
          <w:sz w:val="22"/>
          <w:lang w:eastAsia="de-CH"/>
        </w:rPr>
        <w:t>3.1</w:t>
      </w:r>
      <w:r w:rsidRPr="00CB3FDD">
        <w:rPr>
          <w:sz w:val="22"/>
          <w:lang w:eastAsia="de-CH"/>
        </w:rPr>
        <w:fldChar w:fldCharType="end"/>
      </w:r>
      <w:r w:rsidRPr="00CB3FDD">
        <w:rPr>
          <w:sz w:val="22"/>
          <w:lang w:eastAsia="de-CH"/>
        </w:rPr>
        <w:t xml:space="preserve">), muss der Aspekt der Zugänglichkeit für Menschen mit einer Hör- und Sehbehinderung ausdrücklich aufgenommen werden. 20 Jahre BehiG-Umsetzung zeigen, dass dieser zu oft vergessen wird, und dass Bahnhöfe, Haltestellen und Kundeninformationssysteme von Menschen mit Sinnesbehinderung nicht autonom in Anspruch genommen werden können. </w:t>
      </w:r>
      <w:r w:rsidRPr="00CB3FDD">
        <w:rPr>
          <w:sz w:val="22"/>
        </w:rPr>
        <w:t xml:space="preserve">Die Verpflichtung, Fahrgastinformationen im Zwei-Sinnes-Prinzip zur Verfügung zu stellen, muss entsprechend </w:t>
      </w:r>
      <w:r w:rsidRPr="00CB3FDD">
        <w:rPr>
          <w:sz w:val="22"/>
          <w:lang w:eastAsia="de-CH"/>
        </w:rPr>
        <w:t xml:space="preserve">sichtbar gemacht werden. </w:t>
      </w:r>
    </w:p>
    <w:p w14:paraId="11DE74C9" w14:textId="4D7A1838" w:rsidR="0031743D" w:rsidRPr="00DA6749" w:rsidRDefault="0031743D" w:rsidP="006C6410">
      <w:pPr>
        <w:ind w:left="4950" w:hanging="4950"/>
        <w:rPr>
          <w:rFonts w:asciiTheme="majorHAnsi" w:hAnsiTheme="majorHAnsi" w:cstheme="majorHAnsi"/>
          <w:szCs w:val="22"/>
        </w:rPr>
      </w:pPr>
    </w:p>
    <w:sectPr w:rsidR="0031743D" w:rsidRPr="00DA6749" w:rsidSect="00DD796A">
      <w:headerReference w:type="default" r:id="rId67"/>
      <w:footerReference w:type="default" r:id="rId68"/>
      <w:headerReference w:type="first" r:id="rId69"/>
      <w:footerReference w:type="first" r:id="rId70"/>
      <w:pgSz w:w="11906" w:h="16838" w:code="9"/>
      <w:pgMar w:top="2552" w:right="1134" w:bottom="1560" w:left="1418" w:header="73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C352" w14:textId="77777777" w:rsidR="00F866D7" w:rsidRDefault="00F866D7" w:rsidP="00C36F5B">
      <w:r>
        <w:separator/>
      </w:r>
    </w:p>
  </w:endnote>
  <w:endnote w:type="continuationSeparator" w:id="0">
    <w:p w14:paraId="2B1DD8DB" w14:textId="77777777" w:rsidR="00F866D7" w:rsidRDefault="00F866D7"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ayout w:type="fixed"/>
      <w:tblLook w:val="04A0" w:firstRow="1" w:lastRow="0" w:firstColumn="1" w:lastColumn="0" w:noHBand="0" w:noVBand="1"/>
    </w:tblPr>
    <w:tblGrid>
      <w:gridCol w:w="3515"/>
      <w:gridCol w:w="4706"/>
    </w:tblGrid>
    <w:tr w:rsidR="002276A5" w14:paraId="565DD6C1" w14:textId="77777777" w:rsidTr="00D71002">
      <w:tc>
        <w:tcPr>
          <w:tcW w:w="3515" w:type="dxa"/>
          <w:vAlign w:val="bottom"/>
        </w:tcPr>
        <w:p w14:paraId="46CA766B" w14:textId="77777777" w:rsidR="002276A5" w:rsidRPr="008E7B1C" w:rsidRDefault="002276A5" w:rsidP="00D71002">
          <w:pPr>
            <w:pStyle w:val="Fuzeile"/>
          </w:pPr>
        </w:p>
      </w:tc>
      <w:tc>
        <w:tcPr>
          <w:tcW w:w="4706" w:type="dxa"/>
          <w:vAlign w:val="bottom"/>
        </w:tcPr>
        <w:p w14:paraId="602DC14F" w14:textId="77777777" w:rsidR="002276A5" w:rsidRDefault="002276A5" w:rsidP="00D71002">
          <w:pPr>
            <w:pStyle w:val="Fuzeile"/>
          </w:pPr>
        </w:p>
      </w:tc>
    </w:tr>
    <w:tr w:rsidR="003F62CA" w14:paraId="44FE983C" w14:textId="77777777" w:rsidTr="00D71002">
      <w:trPr>
        <w:gridAfter w:val="1"/>
        <w:wAfter w:w="4706" w:type="dxa"/>
      </w:trPr>
      <w:tc>
        <w:tcPr>
          <w:tcW w:w="3515" w:type="dxa"/>
          <w:vAlign w:val="bottom"/>
        </w:tcPr>
        <w:p w14:paraId="690488E5" w14:textId="77777777" w:rsidR="003F62CA" w:rsidRDefault="003F62CA" w:rsidP="00D71002">
          <w:pPr>
            <w:pStyle w:val="Fuzeile"/>
          </w:pPr>
          <w:r w:rsidRPr="008E7B1C">
            <w:t>www.proinfirmis.ch</w:t>
          </w:r>
        </w:p>
      </w:tc>
    </w:tr>
  </w:tbl>
  <w:p w14:paraId="76231CD2" w14:textId="77777777" w:rsidR="002E4F9E" w:rsidRDefault="002E4F9E" w:rsidP="00D71002">
    <w:pPr>
      <w:pStyle w:val="Fuzeile"/>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ayout w:type="fixed"/>
      <w:tblLook w:val="04A0" w:firstRow="1" w:lastRow="0" w:firstColumn="1" w:lastColumn="0" w:noHBand="0" w:noVBand="1"/>
    </w:tblPr>
    <w:tblGrid>
      <w:gridCol w:w="3515"/>
      <w:gridCol w:w="4706"/>
    </w:tblGrid>
    <w:tr w:rsidR="002E4F9E" w14:paraId="6128C916" w14:textId="77777777" w:rsidTr="008E7B1C">
      <w:tc>
        <w:tcPr>
          <w:tcW w:w="3515" w:type="dxa"/>
          <w:vAlign w:val="bottom"/>
        </w:tcPr>
        <w:p w14:paraId="273F8C80" w14:textId="77777777" w:rsidR="002E4F9E" w:rsidRDefault="002E4F9E">
          <w:pPr>
            <w:pStyle w:val="Fuzeile"/>
          </w:pPr>
        </w:p>
      </w:tc>
      <w:tc>
        <w:tcPr>
          <w:tcW w:w="4706" w:type="dxa"/>
          <w:vAlign w:val="bottom"/>
        </w:tcPr>
        <w:p w14:paraId="4BFDC2D8" w14:textId="77777777" w:rsidR="002E4F9E" w:rsidRDefault="002E4F9E" w:rsidP="008E7B1C">
          <w:pPr>
            <w:pStyle w:val="Fuzeile"/>
          </w:pPr>
        </w:p>
      </w:tc>
    </w:tr>
    <w:tr w:rsidR="000E59D7" w14:paraId="1D02ACDD" w14:textId="77777777" w:rsidTr="008E7B1C">
      <w:trPr>
        <w:gridAfter w:val="1"/>
        <w:wAfter w:w="4706" w:type="dxa"/>
      </w:trPr>
      <w:tc>
        <w:tcPr>
          <w:tcW w:w="3515" w:type="dxa"/>
          <w:vAlign w:val="bottom"/>
        </w:tcPr>
        <w:p w14:paraId="74B72B0E" w14:textId="77777777" w:rsidR="000E59D7" w:rsidRPr="008E7B1C" w:rsidRDefault="000E59D7">
          <w:pPr>
            <w:pStyle w:val="Fuzeile"/>
          </w:pPr>
          <w:r w:rsidRPr="008E7B1C">
            <w:t>www.proinfirmis.ch</w:t>
          </w:r>
        </w:p>
      </w:tc>
    </w:tr>
  </w:tbl>
  <w:p w14:paraId="0AAE4A3E" w14:textId="77777777" w:rsidR="002E4F9E" w:rsidRDefault="002E4F9E" w:rsidP="008E7B1C">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4AE6" w14:textId="77777777" w:rsidR="00F866D7" w:rsidRDefault="00F866D7" w:rsidP="00C36F5B">
      <w:r>
        <w:separator/>
      </w:r>
    </w:p>
  </w:footnote>
  <w:footnote w:type="continuationSeparator" w:id="0">
    <w:p w14:paraId="28CA1093" w14:textId="77777777" w:rsidR="00F866D7" w:rsidRDefault="00F866D7" w:rsidP="00C36F5B">
      <w:r>
        <w:continuationSeparator/>
      </w:r>
    </w:p>
  </w:footnote>
  <w:footnote w:id="1">
    <w:p w14:paraId="4071AD74" w14:textId="77777777" w:rsidR="00CB3FDD" w:rsidRDefault="00CB3FDD" w:rsidP="00CB3FDD">
      <w:pPr>
        <w:pStyle w:val="Funotentext"/>
        <w:rPr>
          <w:lang w:val="en-US"/>
        </w:rPr>
      </w:pPr>
      <w:r>
        <w:rPr>
          <w:rStyle w:val="Funotenzeichen"/>
        </w:rPr>
        <w:footnoteRef/>
      </w:r>
      <w:r>
        <w:rPr>
          <w:lang w:val="en-US"/>
        </w:rPr>
        <w:t xml:space="preserve"> </w:t>
      </w:r>
      <w:hyperlink r:id="rId1" w:history="1">
        <w:r>
          <w:rPr>
            <w:rStyle w:val="Internetverknpfung"/>
            <w:lang w:val="en-US"/>
          </w:rPr>
          <w:t>United Nations, Committee on the Rights of Persons with Disabilities CRPD, Concluding observations on the initial report of Switzerland, 25 March 2022</w:t>
        </w:r>
      </w:hyperlink>
      <w:r>
        <w:rPr>
          <w:rStyle w:val="Internetverknpfung"/>
          <w:lang w:val="en-US"/>
        </w:rPr>
        <w:t xml:space="preserve"> (nachfolgend BRK-Ausschuss, Schlussempfehlungen)</w:t>
      </w:r>
      <w:r>
        <w:rPr>
          <w:lang w:val="en-US"/>
        </w:rPr>
        <w:t xml:space="preserve">. </w:t>
      </w:r>
    </w:p>
  </w:footnote>
  <w:footnote w:id="2">
    <w:p w14:paraId="64181281" w14:textId="77777777" w:rsidR="00CB3FDD" w:rsidRDefault="00CB3FDD" w:rsidP="00CB3FDD">
      <w:pPr>
        <w:pStyle w:val="Funotentext"/>
      </w:pPr>
      <w:r>
        <w:rPr>
          <w:rStyle w:val="Funotenzeichen"/>
        </w:rPr>
        <w:footnoteRef/>
      </w:r>
      <w:r>
        <w:t xml:space="preserve"> </w:t>
      </w:r>
      <w:r>
        <w:rPr>
          <w:smallCaps/>
        </w:rPr>
        <w:t>Caroline Hess-Klein/Eliane Scheibler</w:t>
      </w:r>
      <w:r>
        <w:t xml:space="preserve">, Aktualisierter Schattenbericht, Bericht der Zivilgesellschaft anlässlich der ersten Überprüfung der Schweiz durch den UNO-Ausschuss für die Rechte von Menschen mit Behinderungen, Bern 2022, S. 21 (nachfolgend </w:t>
      </w:r>
      <w:r>
        <w:rPr>
          <w:smallCaps/>
        </w:rPr>
        <w:t>Hess-Klein/Scheibler</w:t>
      </w:r>
      <w:r>
        <w:t>, Schattenbericht).</w:t>
      </w:r>
    </w:p>
  </w:footnote>
  <w:footnote w:id="3">
    <w:p w14:paraId="0A8AD720" w14:textId="04327F66" w:rsidR="00CB3FDD" w:rsidRDefault="00CB3FDD" w:rsidP="00CB3FDD">
      <w:pPr>
        <w:pStyle w:val="Funotentext"/>
      </w:pPr>
      <w:r>
        <w:rPr>
          <w:rStyle w:val="Funotenzeichen"/>
        </w:rPr>
        <w:footnoteRef/>
      </w:r>
      <w:r>
        <w:t xml:space="preserve"> Urteil des Bundesgerichts 4A_369/2012 (2012) E. 3.3; </w:t>
      </w:r>
      <w:r>
        <w:rPr>
          <w:smallCaps/>
        </w:rPr>
        <w:t>Hess-Klein/Scheibler</w:t>
      </w:r>
      <w:r>
        <w:t xml:space="preserve">, Schattenbericht (Anm. </w:t>
      </w:r>
      <w:r>
        <w:fldChar w:fldCharType="begin"/>
      </w:r>
      <w:r>
        <w:instrText xml:space="preserve"> NOTEREF _Ref161592215 \h </w:instrText>
      </w:r>
      <w:r>
        <w:fldChar w:fldCharType="separate"/>
      </w:r>
      <w:r w:rsidR="00663FF0">
        <w:t>2</w:t>
      </w:r>
      <w:r>
        <w:fldChar w:fldCharType="end"/>
      </w:r>
      <w:r>
        <w:t>), S. 22.</w:t>
      </w:r>
    </w:p>
  </w:footnote>
  <w:footnote w:id="4">
    <w:p w14:paraId="0B6BAE8F" w14:textId="707871F0" w:rsidR="00CB3FDD" w:rsidRDefault="00CB3FDD" w:rsidP="00CB3FDD">
      <w:pPr>
        <w:pStyle w:val="Funotentext"/>
      </w:pPr>
      <w:r>
        <w:rPr>
          <w:rStyle w:val="Funotenzeichen"/>
        </w:rPr>
        <w:footnoteRef/>
      </w:r>
      <w:r>
        <w:t xml:space="preserve"> </w:t>
      </w:r>
      <w:r>
        <w:rPr>
          <w:smallCaps/>
        </w:rPr>
        <w:t>Hess-Klein/Scheibler</w:t>
      </w:r>
      <w:r>
        <w:t xml:space="preserve">, Schattenbericht (Anm. </w:t>
      </w:r>
      <w:r>
        <w:fldChar w:fldCharType="begin"/>
      </w:r>
      <w:r>
        <w:instrText xml:space="preserve"> NOTEREF _Ref161592215 \h </w:instrText>
      </w:r>
      <w:r>
        <w:fldChar w:fldCharType="separate"/>
      </w:r>
      <w:r w:rsidR="00663FF0">
        <w:t>2</w:t>
      </w:r>
      <w:r>
        <w:fldChar w:fldCharType="end"/>
      </w:r>
      <w:r>
        <w:t>), S. 22 f.</w:t>
      </w:r>
    </w:p>
  </w:footnote>
  <w:footnote w:id="5">
    <w:p w14:paraId="3D1465D0" w14:textId="46F81FD2" w:rsidR="00CB3FDD" w:rsidRDefault="00CB3FDD" w:rsidP="00CB3FDD">
      <w:pPr>
        <w:pStyle w:val="Funotentext"/>
      </w:pPr>
      <w:r>
        <w:rPr>
          <w:rStyle w:val="Funotenzeichen"/>
        </w:rPr>
        <w:footnoteRef/>
      </w:r>
      <w:r>
        <w:t xml:space="preserve"> </w:t>
      </w:r>
      <w:r>
        <w:rPr>
          <w:rStyle w:val="Internetverknpfung"/>
        </w:rPr>
        <w:t>BRK-Ausschuss, Schlussempfehlungen</w:t>
      </w:r>
      <w:r>
        <w:t xml:space="preserve"> (Anm. </w:t>
      </w:r>
      <w:r>
        <w:fldChar w:fldCharType="begin"/>
      </w:r>
      <w:r>
        <w:instrText xml:space="preserve"> NOTEREF _Ref161591363 \h </w:instrText>
      </w:r>
      <w:r>
        <w:fldChar w:fldCharType="separate"/>
      </w:r>
      <w:r w:rsidR="00663FF0">
        <w:t>1</w:t>
      </w:r>
      <w:r>
        <w:fldChar w:fldCharType="end"/>
      </w:r>
      <w:r>
        <w:t>), Ziff. 12.</w:t>
      </w:r>
    </w:p>
  </w:footnote>
  <w:footnote w:id="6">
    <w:p w14:paraId="5292A970" w14:textId="77777777" w:rsidR="00CB3FDD" w:rsidRDefault="00CB3FDD" w:rsidP="00CB3FDD">
      <w:pPr>
        <w:pStyle w:val="Funotentext"/>
      </w:pPr>
      <w:r>
        <w:rPr>
          <w:rStyle w:val="Funotenzeichen"/>
        </w:rPr>
        <w:footnoteRef/>
      </w:r>
      <w:r>
        <w:t xml:space="preserve"> Erläuternder Bericht, S. 5 und S. 39.</w:t>
      </w:r>
    </w:p>
  </w:footnote>
  <w:footnote w:id="7">
    <w:p w14:paraId="5F7B1576" w14:textId="77777777" w:rsidR="00CB3FDD" w:rsidRDefault="00CB3FDD" w:rsidP="00CB3FDD">
      <w:pPr>
        <w:pStyle w:val="Funotentext"/>
      </w:pPr>
      <w:r>
        <w:rPr>
          <w:rStyle w:val="Funotenzeichen"/>
        </w:rPr>
        <w:footnoteRef/>
      </w:r>
      <w:r>
        <w:t xml:space="preserve"> Erläuternder Bericht, S. 5 ff.</w:t>
      </w:r>
    </w:p>
  </w:footnote>
  <w:footnote w:id="8">
    <w:p w14:paraId="0FF33FAA" w14:textId="77777777" w:rsidR="00CB3FDD" w:rsidRDefault="00CB3FDD" w:rsidP="00CB3FDD">
      <w:pPr>
        <w:pStyle w:val="Funotentext"/>
      </w:pPr>
      <w:r>
        <w:rPr>
          <w:rStyle w:val="Funotenzeichen"/>
        </w:rPr>
        <w:footnoteRef/>
      </w:r>
      <w:r>
        <w:t xml:space="preserve"> Erläuternder Bericht, S. 36.</w:t>
      </w:r>
    </w:p>
  </w:footnote>
  <w:footnote w:id="9">
    <w:p w14:paraId="01DE108A" w14:textId="77777777" w:rsidR="00CB3FDD" w:rsidRDefault="00CB3FDD" w:rsidP="00CB3FDD">
      <w:pPr>
        <w:pStyle w:val="Funotentext"/>
      </w:pPr>
      <w:r>
        <w:rPr>
          <w:rStyle w:val="Funotenzeichen"/>
        </w:rPr>
        <w:footnoteRef/>
      </w:r>
      <w:r>
        <w:t xml:space="preserve"> Erläuternder Bericht, S. 40.</w:t>
      </w:r>
    </w:p>
  </w:footnote>
  <w:footnote w:id="10">
    <w:p w14:paraId="3F2D1EF4" w14:textId="1655CCCF" w:rsidR="00CB3FDD" w:rsidRDefault="00CB3FDD" w:rsidP="00CB3FDD">
      <w:pPr>
        <w:pStyle w:val="Funotentext"/>
      </w:pPr>
      <w:r>
        <w:rPr>
          <w:rStyle w:val="Funotenzeichen"/>
        </w:rPr>
        <w:footnoteRef/>
      </w:r>
      <w:r>
        <w:t xml:space="preserve"> BRK-Ausschuss, Schlussempfehlungen (Anm. </w:t>
      </w:r>
      <w:r>
        <w:fldChar w:fldCharType="begin"/>
      </w:r>
      <w:r>
        <w:instrText xml:space="preserve"> NOTEREF _Ref161641543 \h </w:instrText>
      </w:r>
      <w:r>
        <w:fldChar w:fldCharType="separate"/>
      </w:r>
      <w:r w:rsidR="00663FF0">
        <w:t>5</w:t>
      </w:r>
      <w:r>
        <w:fldChar w:fldCharType="end"/>
      </w:r>
      <w:r>
        <w:t>), Ziff. 8c.</w:t>
      </w:r>
    </w:p>
  </w:footnote>
  <w:footnote w:id="11">
    <w:p w14:paraId="41093F8C" w14:textId="77777777" w:rsidR="00CB3FDD" w:rsidRDefault="00CB3FDD" w:rsidP="00CB3FDD">
      <w:pPr>
        <w:pStyle w:val="Funotentext"/>
      </w:pPr>
      <w:r>
        <w:rPr>
          <w:rStyle w:val="Funotenzeichen"/>
        </w:rPr>
        <w:footnoteRef/>
      </w:r>
      <w:r>
        <w:t xml:space="preserve"> Botschaft zur Volksinitiative «Gleiche Rechte für Behinderte» und zum Entwurf eines Bundesgesetzes über die Beseitigung von Benachteiligungen behinderter Menschen, BBl 2001 1715, S. 1781, S. 1787 (nachfolgend BehiG-Botschaft).</w:t>
      </w:r>
    </w:p>
  </w:footnote>
  <w:footnote w:id="12">
    <w:p w14:paraId="1AD7C497" w14:textId="77777777" w:rsidR="00CB3FDD" w:rsidRDefault="00CB3FDD" w:rsidP="00CB3FDD">
      <w:pPr>
        <w:pStyle w:val="Funotentext"/>
      </w:pPr>
      <w:r>
        <w:rPr>
          <w:rStyle w:val="Funotenzeichen"/>
        </w:rPr>
        <w:footnoteRef/>
      </w:r>
      <w:r>
        <w:t xml:space="preserve"> Bundesamt für Verkehr BAV, Umsetzung des Behindertengleichstellungsgesetzes an Bahnhöfen und Eisenbahn-Haltestellen, Standbericht n°6: 2023 (Zahlen per Ende 2022), 14. Dezember 2023, Zusammenfassung, S. 3.</w:t>
      </w:r>
    </w:p>
  </w:footnote>
  <w:footnote w:id="13">
    <w:p w14:paraId="629D8974" w14:textId="77777777" w:rsidR="00CB3FDD" w:rsidRDefault="00CB3FDD" w:rsidP="00CB3FDD">
      <w:pPr>
        <w:pStyle w:val="Funotentext"/>
      </w:pPr>
      <w:r>
        <w:rPr>
          <w:rStyle w:val="Funotenzeichen"/>
        </w:rPr>
        <w:footnoteRef/>
      </w:r>
      <w:r>
        <w:t xml:space="preserve"> Zugänglichkeit für Menschen mit einer Behinderung zum öffentlichen Verkehr, Bericht des Bundesrates in Erfüllung des Postulates 20.3874 Reynard vom 19. Juni 2020, Bern, März 2023, S. 15 (nachfolgend Bericht Postulat Reynard).</w:t>
      </w:r>
    </w:p>
  </w:footnote>
  <w:footnote w:id="14">
    <w:p w14:paraId="50AF149C" w14:textId="10AA3079" w:rsidR="00CB3FDD" w:rsidRDefault="00CB3FDD" w:rsidP="00CB3FDD">
      <w:pPr>
        <w:pStyle w:val="Funotentext"/>
      </w:pPr>
      <w:r>
        <w:rPr>
          <w:rStyle w:val="Funotenzeichen"/>
        </w:rPr>
        <w:footnoteRef/>
      </w:r>
      <w:r>
        <w:t xml:space="preserve"> Bericht Postulat Reynard (Anm. </w:t>
      </w:r>
      <w:r>
        <w:fldChar w:fldCharType="begin"/>
      </w:r>
      <w:r>
        <w:instrText xml:space="preserve"> NOTEREF _Ref161592545 \h  \* MERGEFORMAT </w:instrText>
      </w:r>
      <w:r>
        <w:fldChar w:fldCharType="separate"/>
      </w:r>
      <w:r w:rsidR="00663FF0">
        <w:t>13</w:t>
      </w:r>
      <w:r>
        <w:fldChar w:fldCharType="end"/>
      </w:r>
      <w:r>
        <w:t>), Ziff. 2.4, S. 12, 16, 17, 18, 20 und 21.</w:t>
      </w:r>
    </w:p>
  </w:footnote>
  <w:footnote w:id="15">
    <w:p w14:paraId="67B68CF8" w14:textId="1665A953" w:rsidR="00CB3FDD" w:rsidRDefault="00CB3FDD" w:rsidP="00CB3FDD">
      <w:pPr>
        <w:pStyle w:val="Funotentext"/>
      </w:pPr>
      <w:r>
        <w:rPr>
          <w:rStyle w:val="Funotenzeichen"/>
        </w:rPr>
        <w:footnoteRef/>
      </w:r>
      <w:r>
        <w:t xml:space="preserve"> Vgl. dazu Bericht Postulat Reynard (Anm. </w:t>
      </w:r>
      <w:r>
        <w:fldChar w:fldCharType="begin"/>
      </w:r>
      <w:r>
        <w:instrText xml:space="preserve"> NOTEREF _Ref161592545 \h  \* MERGEFORMAT </w:instrText>
      </w:r>
      <w:r>
        <w:fldChar w:fldCharType="separate"/>
      </w:r>
      <w:r w:rsidR="00663FF0">
        <w:t>13</w:t>
      </w:r>
      <w:r>
        <w:fldChar w:fldCharType="end"/>
      </w:r>
      <w:r>
        <w:t>), Ziff. 2.4, S. 7 f.</w:t>
      </w:r>
    </w:p>
  </w:footnote>
  <w:footnote w:id="16">
    <w:p w14:paraId="614B004D" w14:textId="77777777" w:rsidR="00CB3FDD" w:rsidRDefault="00CB3FDD" w:rsidP="00CB3FDD">
      <w:pPr>
        <w:pStyle w:val="Funotentext"/>
        <w:rPr>
          <w:shd w:val="clear" w:color="auto" w:fill="FFFF00"/>
        </w:rPr>
      </w:pPr>
      <w:r>
        <w:rPr>
          <w:rStyle w:val="Funotenzeichen"/>
        </w:rPr>
        <w:footnoteRef/>
      </w:r>
      <w:r>
        <w:rPr>
          <w:szCs w:val="18"/>
          <w:lang w:eastAsia="de-CH"/>
        </w:rPr>
        <w:t xml:space="preserve"> </w:t>
      </w:r>
      <w:r>
        <w:t>Erläuternder Bericht zur vorgeschlagenen Revision, S. 7.</w:t>
      </w:r>
      <w:r>
        <w:rPr>
          <w:shd w:val="clear" w:color="auto" w:fill="FFFF00"/>
        </w:rPr>
        <w:t xml:space="preserve"> </w:t>
      </w:r>
    </w:p>
  </w:footnote>
  <w:footnote w:id="17">
    <w:p w14:paraId="15576DA1" w14:textId="77777777" w:rsidR="00CB3FDD" w:rsidRDefault="00CB3FDD" w:rsidP="00CB3FDD">
      <w:pPr>
        <w:pStyle w:val="Funotentext"/>
      </w:pPr>
      <w:r>
        <w:rPr>
          <w:rStyle w:val="Funotenzeichen"/>
        </w:rPr>
        <w:footnoteRef/>
      </w:r>
      <w:r>
        <w:t xml:space="preserve"> Erläuternder Bericht zur vorgeschlagenen Revision, S. 34.</w:t>
      </w:r>
    </w:p>
  </w:footnote>
  <w:footnote w:id="18">
    <w:p w14:paraId="5615834B" w14:textId="77777777" w:rsidR="00CB3FDD" w:rsidRDefault="00CB3FDD" w:rsidP="00CB3FDD">
      <w:pPr>
        <w:pStyle w:val="Funotentext"/>
        <w:rPr>
          <w:szCs w:val="18"/>
        </w:rPr>
      </w:pPr>
      <w:r>
        <w:rPr>
          <w:rStyle w:val="Funotenzeichen"/>
        </w:rPr>
        <w:footnoteRef/>
      </w:r>
      <w:r>
        <w:t xml:space="preserve"> Erläuternder Bericht zur vorgeschlagenen Revision</w:t>
      </w:r>
    </w:p>
  </w:footnote>
  <w:footnote w:id="19">
    <w:p w14:paraId="125AAADE" w14:textId="77777777" w:rsidR="00CB3FDD" w:rsidRDefault="00CB3FDD" w:rsidP="00CB3FDD">
      <w:pPr>
        <w:pStyle w:val="Funotentext"/>
      </w:pPr>
      <w:r>
        <w:rPr>
          <w:rStyle w:val="Funotenzeichen"/>
        </w:rPr>
        <w:footnoteRef/>
      </w:r>
      <w:r>
        <w:t xml:space="preserve"> Vgl. Positionspapier von Inclusion Handicap vom Nov. 2023 «Der lange Weg zu einem barrierefreien öffentlichen Verkehr». </w:t>
      </w:r>
      <w:hyperlink r:id="rId2" w:history="1">
        <w:r>
          <w:rPr>
            <w:rStyle w:val="Hyperlink"/>
          </w:rPr>
          <w:t>https://www.inclusion-handicap.ch/admin/data/files/asset/file_de/822/20231130_positionspapier_ende-behig-frist_oev_d.pdf?lm=1701248610</w:t>
        </w:r>
      </w:hyperlink>
      <w:r>
        <w:t xml:space="preserve"> , s.5 und 6</w:t>
      </w:r>
    </w:p>
  </w:footnote>
  <w:footnote w:id="20">
    <w:p w14:paraId="3B59B93A" w14:textId="690F5A28" w:rsidR="00CB3FDD" w:rsidRDefault="00CB3FDD" w:rsidP="00CB3FDD">
      <w:pPr>
        <w:pStyle w:val="Funotentext"/>
      </w:pPr>
      <w:r>
        <w:rPr>
          <w:rStyle w:val="Funotenzeichen"/>
        </w:rPr>
        <w:footnoteRef/>
      </w:r>
      <w:r>
        <w:t xml:space="preserve"> Solange die Unterscheidung bei den materiellen Verpflichtungen aufrechterhalten wird (Verbot der Benachteiligung für den Staat/Verbot der Diskriminierung für Private, dazu Ziff. </w:t>
      </w:r>
      <w:r>
        <w:fldChar w:fldCharType="begin"/>
      </w:r>
      <w:r>
        <w:instrText xml:space="preserve"> REF _Ref161560698 \r \h </w:instrText>
      </w:r>
      <w:r>
        <w:fldChar w:fldCharType="separate"/>
      </w:r>
      <w:r w:rsidR="00663FF0">
        <w:t>4.2</w:t>
      </w:r>
      <w:r>
        <w:fldChar w:fldCharType="end"/>
      </w:r>
      <w:r>
        <w:t>), bleibt die hier formulierte Kritik mit Bezug auf Art. 3 lit e, 7 Abs. 2 sowie 8 Abs. 1 BehiG relevant. Betroffen sind auch weitere Tätigkeitsbereiche im Monopol des Bundes (RTVG; FMG).</w:t>
      </w:r>
    </w:p>
  </w:footnote>
  <w:footnote w:id="21">
    <w:p w14:paraId="7C23B0D8" w14:textId="77777777" w:rsidR="00CB3FDD" w:rsidRDefault="00CB3FDD" w:rsidP="00CB3FDD">
      <w:pPr>
        <w:pStyle w:val="Funotentext"/>
      </w:pPr>
      <w:r>
        <w:rPr>
          <w:rStyle w:val="Funotenzeichen"/>
        </w:rPr>
        <w:footnoteRef/>
      </w:r>
      <w:r>
        <w:t xml:space="preserve"> </w:t>
      </w:r>
      <w:r>
        <w:rPr>
          <w:lang w:val="de-DE"/>
        </w:rPr>
        <w:t xml:space="preserve">Insbesondere im innereuropäischen Luftverkehr ist seit 2010 generell keine Streckenkonzession mehr erforderlich, siehe </w:t>
      </w:r>
      <w:r>
        <w:t>VO (EG) Nr. 1008/2008, insbesondere Art. 15 Abs. 2.</w:t>
      </w:r>
    </w:p>
  </w:footnote>
  <w:footnote w:id="22">
    <w:p w14:paraId="00445951" w14:textId="77777777" w:rsidR="00CB3FDD" w:rsidRDefault="00CB3FDD" w:rsidP="00CB3FDD">
      <w:pPr>
        <w:pStyle w:val="Funotentext"/>
        <w:rPr>
          <w:lang w:val="de-DE"/>
        </w:rPr>
      </w:pPr>
      <w:r>
        <w:rPr>
          <w:rStyle w:val="Funotenzeichen"/>
        </w:rPr>
        <w:footnoteRef/>
      </w:r>
      <w:r>
        <w:t xml:space="preserve"> </w:t>
      </w:r>
      <w:r>
        <w:rPr>
          <w:lang w:val="de-DE" w:eastAsia="de-CH"/>
        </w:rPr>
        <w:t>Im Rahmen der Bahnreform 2/2 erfolgte zwar eine Anpassung von Art. 7 Abs. 2 und Art. 8 Abs. 1 BehiG. Aber auch bei dieser Anpassung blieben die Rechtsansprüche des BehiG auf konzessionspflichtige Unternehmen begrenzt.</w:t>
      </w:r>
    </w:p>
  </w:footnote>
  <w:footnote w:id="23">
    <w:p w14:paraId="59231BDE" w14:textId="77777777" w:rsidR="00CB3FDD" w:rsidRDefault="00CB3FDD" w:rsidP="00CB3FDD">
      <w:pPr>
        <w:pStyle w:val="Funotentext"/>
        <w:rPr>
          <w:lang w:val="de-DE" w:eastAsia="de-CH"/>
        </w:rPr>
      </w:pPr>
      <w:r>
        <w:rPr>
          <w:rStyle w:val="Funotenzeichen"/>
        </w:rPr>
        <w:footnoteRef/>
      </w:r>
      <w:r>
        <w:rPr>
          <w:lang w:val="de-DE" w:eastAsia="de-CH"/>
        </w:rPr>
        <w:t xml:space="preserve"> In den Materialien zu den Bahnreformen 2/1 und 2/2 finden sich keine Hinweise, dass sich der Gesetzgeber dieser Problematik bewusst war, geschweige denn, dass er diese Begrenzung gewollt hätte, vgl. dazu Zusatzbotschaft zur Bahnreform 2, S. 955; AB 2011 N 374; AB 2011 S. 420. </w:t>
      </w:r>
      <w:r>
        <w:rPr>
          <w:smallCaps/>
          <w:lang w:val="de-DE"/>
        </w:rPr>
        <w:t>Markus Schefer/Caroline Hess-Klein</w:t>
      </w:r>
      <w:r>
        <w:rPr>
          <w:lang w:val="de-DE"/>
        </w:rPr>
        <w:t>, Behindertengleichstellungsrecht, Bern 2014, S. 131 f.</w:t>
      </w:r>
    </w:p>
  </w:footnote>
  <w:footnote w:id="24">
    <w:p w14:paraId="32F0EA45" w14:textId="77777777" w:rsidR="00CB3FDD" w:rsidRDefault="00CB3FDD" w:rsidP="00CB3FDD">
      <w:pPr>
        <w:pStyle w:val="Funotentext"/>
        <w:rPr>
          <w:lang w:val="fr-CH"/>
        </w:rPr>
      </w:pPr>
      <w:r>
        <w:rPr>
          <w:rStyle w:val="Funotenzeichen"/>
        </w:rPr>
        <w:footnoteRef/>
      </w:r>
      <w:r>
        <w:rPr>
          <w:lang w:val="de-DE"/>
        </w:rPr>
        <w:t xml:space="preserve"> Erläuternder Bericht zur vorliegenden Revision, S. 24; noch klarer in der französischen Fassung, S. 24: « Si les aménagements peuvent impliquer des adaptations architecturales mineures, les mesures relatives à la construction restent soumises au droit relatif aux constructions et installations en vigueur. </w:t>
      </w:r>
      <w:r>
        <w:rPr>
          <w:lang w:val="fr-CH"/>
        </w:rPr>
        <w:t>L’avant-projet n’impose par conséquent pas d’obligations architecturales supplémentaires aux entreprises privées. »</w:t>
      </w:r>
    </w:p>
  </w:footnote>
  <w:footnote w:id="25">
    <w:p w14:paraId="5F581A07" w14:textId="77777777" w:rsidR="00CB3FDD" w:rsidRDefault="00CB3FDD" w:rsidP="00CB3FDD">
      <w:pPr>
        <w:pStyle w:val="Funotentext"/>
      </w:pPr>
      <w:r>
        <w:rPr>
          <w:rStyle w:val="Funotenzeichen"/>
        </w:rPr>
        <w:footnoteRef/>
      </w:r>
      <w:r>
        <w:t xml:space="preserve"> </w:t>
      </w:r>
      <w:r>
        <w:rPr>
          <w:smallCaps/>
        </w:rPr>
        <w:t>Theres Egger/Heidi Stutz/Jolanda Jäggi/ Livia Bannwart/Thomas Oesch/Tarek Naguib/Kurz Pärli</w:t>
      </w:r>
      <w:r>
        <w:t xml:space="preserve"> (ZHAW/BASS), Evaluation des Bundesgesetzes über die Beseitigung von Benachteiligungen von Menschen mit Behinderungen – BehiG, im Auftrag des EBGB, Bern, August 2015, Kurzfassung, S. 15 f.</w:t>
      </w:r>
    </w:p>
  </w:footnote>
  <w:footnote w:id="26">
    <w:p w14:paraId="51EB6AE3" w14:textId="77777777" w:rsidR="00CB3FDD" w:rsidRDefault="00CB3FDD" w:rsidP="00CB3FDD">
      <w:pPr>
        <w:pStyle w:val="Funotentext"/>
      </w:pPr>
      <w:r>
        <w:rPr>
          <w:rStyle w:val="Funotenzeichen"/>
        </w:rPr>
        <w:footnoteRef/>
      </w:r>
      <w:r>
        <w:t xml:space="preserve"> Bundesamt für Justiz, Erläuterungen zur Behindertengleichstellungsverordnung (BehiV) (2003), S. 2.</w:t>
      </w:r>
    </w:p>
  </w:footnote>
  <w:footnote w:id="27">
    <w:p w14:paraId="4F707954" w14:textId="3B31AEBF" w:rsidR="00CB3FDD" w:rsidRDefault="00CB3FDD" w:rsidP="00CB3FDD">
      <w:pPr>
        <w:pStyle w:val="Funotentext"/>
      </w:pPr>
      <w:r>
        <w:rPr>
          <w:rStyle w:val="Funotenzeichen"/>
        </w:rPr>
        <w:footnoteRef/>
      </w:r>
      <w:r>
        <w:rPr>
          <w:smallCaps/>
        </w:rPr>
        <w:t xml:space="preserve"> </w:t>
      </w:r>
      <w:r>
        <w:t xml:space="preserve">Vgl. zum Ganzen auch: </w:t>
      </w:r>
      <w:r>
        <w:rPr>
          <w:smallCaps/>
        </w:rPr>
        <w:t>Hess-Klein/Scheibler</w:t>
      </w:r>
      <w:r>
        <w:t xml:space="preserve">, Schattenbericht (Anm. </w:t>
      </w:r>
      <w:r>
        <w:fldChar w:fldCharType="begin"/>
      </w:r>
      <w:r>
        <w:instrText xml:space="preserve"> NOTEREF _Ref161592215 \h </w:instrText>
      </w:r>
      <w:r>
        <w:fldChar w:fldCharType="separate"/>
      </w:r>
      <w:r w:rsidR="00663FF0">
        <w:t>2</w:t>
      </w:r>
      <w:r>
        <w:fldChar w:fldCharType="end"/>
      </w:r>
      <w:r>
        <w:t>), S. 33.</w:t>
      </w:r>
    </w:p>
  </w:footnote>
  <w:footnote w:id="28">
    <w:p w14:paraId="28EB76D1" w14:textId="1877AE0F" w:rsidR="00CB3FDD" w:rsidRDefault="00CB3FDD" w:rsidP="00CB3FDD">
      <w:pPr>
        <w:pStyle w:val="Funotentext"/>
      </w:pPr>
      <w:r>
        <w:rPr>
          <w:rStyle w:val="Funotenzeichen"/>
        </w:rPr>
        <w:footnoteRef/>
      </w:r>
      <w:r>
        <w:t xml:space="preserve"> So auch: </w:t>
      </w:r>
      <w:r>
        <w:rPr>
          <w:smallCaps/>
        </w:rPr>
        <w:t>Hess-Klein/Scheibler</w:t>
      </w:r>
      <w:r>
        <w:t xml:space="preserve">, Schattenbericht (Anm. </w:t>
      </w:r>
      <w:r>
        <w:fldChar w:fldCharType="begin"/>
      </w:r>
      <w:r>
        <w:instrText xml:space="preserve"> NOTEREF _Ref161592215 \h </w:instrText>
      </w:r>
      <w:r>
        <w:fldChar w:fldCharType="separate"/>
      </w:r>
      <w:r w:rsidR="00663FF0">
        <w:t>2</w:t>
      </w:r>
      <w:r>
        <w:fldChar w:fldCharType="end"/>
      </w:r>
      <w:r>
        <w:t>), S. 33.</w:t>
      </w:r>
    </w:p>
  </w:footnote>
  <w:footnote w:id="29">
    <w:p w14:paraId="6C39E798" w14:textId="77777777" w:rsidR="00CB3FDD" w:rsidRDefault="00CB3FDD" w:rsidP="00CB3FDD">
      <w:pPr>
        <w:pStyle w:val="Funotentext"/>
      </w:pPr>
      <w:r>
        <w:rPr>
          <w:rStyle w:val="Funotenzeichen"/>
        </w:rPr>
        <w:footnoteRef/>
      </w:r>
      <w:r>
        <w:t xml:space="preserve"> So der Kanton UR.</w:t>
      </w:r>
    </w:p>
  </w:footnote>
  <w:footnote w:id="30">
    <w:p w14:paraId="0476B0DA" w14:textId="0C0BD15C" w:rsidR="00CB3FDD" w:rsidRDefault="00CB3FDD" w:rsidP="00CB3FDD">
      <w:pPr>
        <w:pStyle w:val="Funotentext"/>
        <w:rPr>
          <w:lang w:val="de-DE"/>
        </w:rPr>
      </w:pPr>
      <w:r>
        <w:rPr>
          <w:rStyle w:val="Funotenzeichen"/>
        </w:rPr>
        <w:footnoteRef/>
      </w:r>
      <w:r>
        <w:t xml:space="preserve"> BehiG-Botschaft (Anm. </w:t>
      </w:r>
      <w:r>
        <w:fldChar w:fldCharType="begin"/>
      </w:r>
      <w:r>
        <w:instrText xml:space="preserve"> NOTEREF _Ref161593291 \h </w:instrText>
      </w:r>
      <w:r>
        <w:fldChar w:fldCharType="separate"/>
      </w:r>
      <w:r w:rsidR="00663FF0">
        <w:t>11</w:t>
      </w:r>
      <w:r>
        <w:fldChar w:fldCharType="end"/>
      </w:r>
      <w:r>
        <w:t>), S. 1780.</w:t>
      </w:r>
    </w:p>
  </w:footnote>
  <w:footnote w:id="31">
    <w:p w14:paraId="586B4DC5" w14:textId="77777777" w:rsidR="00CB3FDD" w:rsidRDefault="00CB3FDD" w:rsidP="00CB3FDD">
      <w:pPr>
        <w:pStyle w:val="Funotentext"/>
      </w:pPr>
      <w:r>
        <w:rPr>
          <w:rStyle w:val="Funotenzeichen"/>
        </w:rPr>
        <w:footnoteRef/>
      </w:r>
      <w:r>
        <w:t xml:space="preserve"> Erläuternder Bericht zur vorgeschlagenen Revision, S. 23.</w:t>
      </w:r>
    </w:p>
  </w:footnote>
  <w:footnote w:id="32">
    <w:p w14:paraId="27936FB6" w14:textId="77777777" w:rsidR="00CB3FDD" w:rsidRDefault="00CB3FDD" w:rsidP="00CB3FDD">
      <w:pPr>
        <w:pStyle w:val="Funotentext"/>
      </w:pPr>
      <w:r>
        <w:rPr>
          <w:rStyle w:val="Funotenzeichen"/>
        </w:rPr>
        <w:footnoteRef/>
      </w:r>
      <w:r>
        <w:t xml:space="preserve"> Erläuternder Bericht zur vorgeschlagenen Revision, S. 23.</w:t>
      </w:r>
    </w:p>
  </w:footnote>
  <w:footnote w:id="33">
    <w:p w14:paraId="5E31573B" w14:textId="77777777" w:rsidR="00CB3FDD" w:rsidRDefault="00CB3FDD" w:rsidP="00CB3FDD">
      <w:pPr>
        <w:pStyle w:val="Funotentext"/>
      </w:pPr>
      <w:r>
        <w:rPr>
          <w:rStyle w:val="Funotenzeichen"/>
        </w:rPr>
        <w:footnoteRef/>
      </w:r>
      <w:r>
        <w:t xml:space="preserve"> Erläuternder Bericht zur vorgeschlagenen Revision, S. 11: «In Bezug auf den materiellen Schutz vor Diskriminierung setzt die Regelung am bereits bestehenden Schutz vor Diskriminierung an, wie er sich aus dem privatrechtlichen bzw. dem arbeitsrechtlichen Persönlichkeitsschutz ergibt. Die ausdrückliche Verankerung des Diskriminierungsverbots im BehiG soll dazu beitragen, die Tragweite dieses Schutzes zu konkretisieren, die zumindest für die Rechtssuchenden heute nicht immer hinreichend klar ist. Sie ist ausserdem Voraussetzung, um die an das bestehende Diskriminierungsverbot anschliessende Verpflichtung zur Vornahme angemessener Vorkehrungen einzuführen.» </w:t>
      </w:r>
    </w:p>
  </w:footnote>
  <w:footnote w:id="34">
    <w:p w14:paraId="25EC6287" w14:textId="77777777" w:rsidR="00CB3FDD" w:rsidRDefault="00CB3FDD" w:rsidP="00CB3FDD">
      <w:pPr>
        <w:pStyle w:val="Funotentext"/>
      </w:pPr>
      <w:r>
        <w:rPr>
          <w:rStyle w:val="Funotenzeichen"/>
        </w:rPr>
        <w:footnoteRef/>
      </w:r>
      <w:r>
        <w:t xml:space="preserve"> Erläuternder Bericht zur vorgeschlagenen Revision, S. 24.</w:t>
      </w:r>
    </w:p>
  </w:footnote>
  <w:footnote w:id="35">
    <w:p w14:paraId="788CA4B0" w14:textId="7DED43B1" w:rsidR="00CB3FDD" w:rsidRDefault="00CB3FDD" w:rsidP="00CB3FDD">
      <w:pPr>
        <w:pStyle w:val="Funotentext"/>
      </w:pPr>
      <w:r>
        <w:rPr>
          <w:rStyle w:val="Funotenzeichen"/>
        </w:rPr>
        <w:footnoteRef/>
      </w:r>
      <w:r>
        <w:t xml:space="preserve"> </w:t>
      </w:r>
      <w:r>
        <w:rPr>
          <w:smallCaps/>
        </w:rPr>
        <w:t>Hess-Klein/Scheibler</w:t>
      </w:r>
      <w:r>
        <w:t xml:space="preserve">, Schattenbericht (Anm. </w:t>
      </w:r>
      <w:r>
        <w:fldChar w:fldCharType="begin"/>
      </w:r>
      <w:r>
        <w:instrText xml:space="preserve"> NOTEREF _Ref161592215 \h </w:instrText>
      </w:r>
      <w:r>
        <w:fldChar w:fldCharType="separate"/>
      </w:r>
      <w:r w:rsidR="00663FF0">
        <w:t>2</w:t>
      </w:r>
      <w:r>
        <w:fldChar w:fldCharType="end"/>
      </w:r>
      <w:r>
        <w:t>), S. 86ff.</w:t>
      </w:r>
    </w:p>
  </w:footnote>
  <w:footnote w:id="36">
    <w:p w14:paraId="4696F75D" w14:textId="5C17FB82" w:rsidR="00CB3FDD" w:rsidRDefault="00CB3FDD" w:rsidP="00CB3FDD">
      <w:pPr>
        <w:pStyle w:val="Funotentext"/>
        <w:rPr>
          <w:lang w:val="de-DE"/>
        </w:rPr>
      </w:pPr>
      <w:r>
        <w:rPr>
          <w:rStyle w:val="Funotenzeichen"/>
        </w:rPr>
        <w:footnoteRef/>
      </w:r>
      <w:r>
        <w:t xml:space="preserve"> BRK Ausschuss, Schlussempfehlungen (Anm. </w:t>
      </w:r>
      <w:r>
        <w:fldChar w:fldCharType="begin"/>
      </w:r>
      <w:r>
        <w:instrText xml:space="preserve"> NOTEREF _Ref161591363 \h </w:instrText>
      </w:r>
      <w:r>
        <w:fldChar w:fldCharType="separate"/>
      </w:r>
      <w:r w:rsidR="00663FF0">
        <w:t>1</w:t>
      </w:r>
      <w:r>
        <w:fldChar w:fldCharType="end"/>
      </w:r>
      <w:r>
        <w:t>), Ziff. 12 und 52 b.</w:t>
      </w:r>
    </w:p>
  </w:footnote>
  <w:footnote w:id="37">
    <w:p w14:paraId="289C7557" w14:textId="77777777" w:rsidR="00CB3FDD" w:rsidRDefault="00CB3FDD" w:rsidP="00CB3FDD">
      <w:pPr>
        <w:pStyle w:val="Funotentext"/>
      </w:pPr>
      <w:r>
        <w:rPr>
          <w:rStyle w:val="Funotenzeichen"/>
        </w:rPr>
        <w:footnoteRef/>
      </w:r>
      <w:r>
        <w:t xml:space="preserve"> Erläuternder Bericht zur vorgeschlagenen Revision, S. 28.</w:t>
      </w:r>
    </w:p>
  </w:footnote>
  <w:footnote w:id="38">
    <w:p w14:paraId="154E5A2F" w14:textId="77777777" w:rsidR="00CB3FDD" w:rsidRDefault="00CB3FDD" w:rsidP="00CB3FDD">
      <w:pPr>
        <w:pStyle w:val="Funotentext"/>
      </w:pPr>
      <w:r>
        <w:rPr>
          <w:rStyle w:val="Funotenzeichen"/>
        </w:rPr>
        <w:footnoteRef/>
      </w:r>
      <w:r>
        <w:rPr>
          <w:lang w:val="en-US"/>
        </w:rPr>
        <w:t xml:space="preserve"> United Nations, Committee on the Rights of Persons with Disabilities, General comment No. 7 (2018) on the participation of persons with disabilities, including children with disabilities, through their representative organizations, in the implementation and monitoring of the Convention, para. </w:t>
      </w:r>
      <w:r>
        <w:t>15 (nachfolgend General comment No. 7).</w:t>
      </w:r>
    </w:p>
  </w:footnote>
  <w:footnote w:id="39">
    <w:p w14:paraId="79E66CCD" w14:textId="77777777" w:rsidR="00CB3FDD" w:rsidRDefault="00CB3FDD" w:rsidP="00CB3FDD">
      <w:pPr>
        <w:pStyle w:val="Funotentext"/>
      </w:pPr>
      <w:r>
        <w:rPr>
          <w:rStyle w:val="Funotenzeichen"/>
        </w:rPr>
        <w:footnoteRef/>
      </w:r>
      <w:r>
        <w:t xml:space="preserve"> Antworten der Schweiz auf die </w:t>
      </w:r>
      <w:r>
        <w:rPr>
          <w:i/>
          <w:iCs/>
        </w:rPr>
        <w:t xml:space="preserve">List of Issues (LoI) </w:t>
      </w:r>
      <w:r>
        <w:t>zum Initialstaatenbericht der Schweiz zur UNO-BRK,</w:t>
      </w:r>
      <w:r>
        <w:rPr>
          <w:i/>
          <w:iCs/>
        </w:rPr>
        <w:t xml:space="preserve"> </w:t>
      </w:r>
      <w:r>
        <w:t>Frage 1(b), Rz. 2.</w:t>
      </w:r>
    </w:p>
  </w:footnote>
  <w:footnote w:id="40">
    <w:p w14:paraId="17E8E95D" w14:textId="0ADCEE5C" w:rsidR="00CB3FDD" w:rsidRDefault="00CB3FDD" w:rsidP="00CB3FDD">
      <w:pPr>
        <w:pStyle w:val="Funotentext"/>
      </w:pPr>
      <w:r>
        <w:rPr>
          <w:rStyle w:val="Funotenzeichen"/>
        </w:rPr>
        <w:footnoteRef/>
      </w:r>
      <w:r>
        <w:t xml:space="preserve"> </w:t>
      </w:r>
      <w:r>
        <w:rPr>
          <w:smallCaps/>
        </w:rPr>
        <w:t>Hess-Klein/Scheibler</w:t>
      </w:r>
      <w:r>
        <w:t xml:space="preserve">, Schattenbericht (Anm. </w:t>
      </w:r>
      <w:r>
        <w:fldChar w:fldCharType="begin"/>
      </w:r>
      <w:r>
        <w:instrText xml:space="preserve"> NOTEREF _Ref161592215 \h </w:instrText>
      </w:r>
      <w:r>
        <w:fldChar w:fldCharType="separate"/>
      </w:r>
      <w:r w:rsidR="00663FF0">
        <w:t>2</w:t>
      </w:r>
      <w:r>
        <w:fldChar w:fldCharType="end"/>
      </w:r>
      <w:r>
        <w:t>), S. 16.</w:t>
      </w:r>
    </w:p>
  </w:footnote>
  <w:footnote w:id="41">
    <w:p w14:paraId="5D4D560C" w14:textId="17E48D69" w:rsidR="00CB3FDD" w:rsidRDefault="00CB3FDD" w:rsidP="00CB3FDD">
      <w:pPr>
        <w:pStyle w:val="Funotentext"/>
      </w:pPr>
      <w:r>
        <w:rPr>
          <w:rStyle w:val="Funotenzeichen"/>
        </w:rPr>
        <w:footnoteRef/>
      </w:r>
      <w:r>
        <w:t xml:space="preserve"> </w:t>
      </w:r>
      <w:r>
        <w:rPr>
          <w:rStyle w:val="Internetverknpfung"/>
        </w:rPr>
        <w:t>BRK-Ausschuss, Schlussempfehlungen</w:t>
      </w:r>
      <w:r>
        <w:t xml:space="preserve"> (Anm. </w:t>
      </w:r>
      <w:r>
        <w:fldChar w:fldCharType="begin"/>
      </w:r>
      <w:r>
        <w:instrText xml:space="preserve"> NOTEREF _Ref161591363 \h </w:instrText>
      </w:r>
      <w:r>
        <w:fldChar w:fldCharType="separate"/>
      </w:r>
      <w:r w:rsidR="00663FF0">
        <w:t>1</w:t>
      </w:r>
      <w:r>
        <w:fldChar w:fldCharType="end"/>
      </w:r>
      <w:r>
        <w:t>), Ziff. 9 and 10.</w:t>
      </w:r>
    </w:p>
  </w:footnote>
  <w:footnote w:id="42">
    <w:p w14:paraId="7AEAEC36" w14:textId="5F61C337" w:rsidR="00CB3FDD" w:rsidRDefault="00CB3FDD" w:rsidP="00CB3FDD">
      <w:pPr>
        <w:pStyle w:val="Funotentext"/>
      </w:pPr>
      <w:r>
        <w:rPr>
          <w:rStyle w:val="Funotenzeichen"/>
        </w:rPr>
        <w:footnoteRef/>
      </w:r>
      <w:r>
        <w:t xml:space="preserve"> General Comment No. 7 (Anm. </w:t>
      </w:r>
      <w:r>
        <w:rPr>
          <w:lang w:val="en-US"/>
        </w:rPr>
        <w:fldChar w:fldCharType="begin"/>
      </w:r>
      <w:r>
        <w:instrText xml:space="preserve"> NOTEREF _Ref161593051 \h </w:instrText>
      </w:r>
      <w:r>
        <w:rPr>
          <w:lang w:val="en-US"/>
        </w:rPr>
      </w:r>
      <w:r>
        <w:rPr>
          <w:lang w:val="en-US"/>
        </w:rPr>
        <w:fldChar w:fldCharType="separate"/>
      </w:r>
      <w:r w:rsidR="00663FF0">
        <w:t>38</w:t>
      </w:r>
      <w:r>
        <w:rPr>
          <w:lang w:val="en-US"/>
        </w:rPr>
        <w:fldChar w:fldCharType="end"/>
      </w:r>
      <w:r>
        <w:t>), para. 21.</w:t>
      </w:r>
    </w:p>
  </w:footnote>
  <w:footnote w:id="43">
    <w:p w14:paraId="2174DC5D" w14:textId="77777777" w:rsidR="00CB3FDD" w:rsidRDefault="00CB3FDD" w:rsidP="00CB3FDD">
      <w:pPr>
        <w:pStyle w:val="Funotentext"/>
      </w:pPr>
      <w:r>
        <w:rPr>
          <w:rStyle w:val="Funotenzeichen"/>
        </w:rPr>
        <w:footnoteRef/>
      </w:r>
      <w:r>
        <w:t xml:space="preserve"> Siehe dazu Erläuternder Bericht zur vorgeschlagenen Revision, S. 5, 19 und 36.</w:t>
      </w:r>
    </w:p>
  </w:footnote>
  <w:footnote w:id="44">
    <w:p w14:paraId="1B36A24C" w14:textId="77777777" w:rsidR="00CB3FDD" w:rsidRDefault="00CB3FDD" w:rsidP="00CB3FDD">
      <w:pPr>
        <w:pStyle w:val="Funotentext"/>
      </w:pPr>
      <w:r>
        <w:rPr>
          <w:rStyle w:val="Funotenzeichen"/>
        </w:rPr>
        <w:footnoteRef/>
      </w:r>
      <w:r>
        <w:t xml:space="preserve"> Botschaft zur Volksinitiative «Gleiche Rechte für Behinderte» und zum Entwurf eines Bundesgesetzes über die Beseitigung von Benachteiligungen behinderter Menschen, BBl 2001 1715, S. 1781 («Die Vollzugskontrolle wird damit zu einem wesentlichen Teil durch die Betroffenen selbst erfolgen. Dadurch sinkt der Aufwand staatlicher Vollzugskontrollen mit entsprechendem Verwaltungsaufwand»), mit Bezug auf das Verbandsbeschwerderecht in Verbindung mit S. 1784. </w:t>
      </w:r>
    </w:p>
    <w:p w14:paraId="19FCEE2A" w14:textId="77777777" w:rsidR="00CB3FDD" w:rsidRDefault="00CB3FDD" w:rsidP="00CB3FDD">
      <w:pPr>
        <w:pStyle w:val="Funotentext"/>
        <w:rPr>
          <w:lang w:val="de-DE"/>
        </w:rPr>
      </w:pPr>
    </w:p>
  </w:footnote>
  <w:footnote w:id="45">
    <w:p w14:paraId="17498FB6" w14:textId="77777777" w:rsidR="00CB3FDD" w:rsidRDefault="00CB3FDD" w:rsidP="00CB3FDD">
      <w:pPr>
        <w:pStyle w:val="Funotentext"/>
        <w:rPr>
          <w:lang w:val="de-DE"/>
        </w:rPr>
      </w:pPr>
      <w:r>
        <w:rPr>
          <w:rStyle w:val="Funotenzeichen"/>
        </w:rPr>
        <w:footnoteRef/>
      </w:r>
      <w:r>
        <w:t xml:space="preserve"> «</w:t>
      </w:r>
      <w:r>
        <w:rPr>
          <w:lang w:val="de-DE"/>
        </w:rPr>
        <w:t>Dieses Gesetz hat zum Zweck, die Rechte von Menschen mit Behinderungen in allen Lebensbereichen zu verwirklichen mit dem Ziel, ihnen ein selbstbestimmtes und selbstverantwortetes Leben zu ermöglichen.</w:t>
      </w:r>
    </w:p>
    <w:p w14:paraId="7C1AF368" w14:textId="77777777" w:rsidR="00CB3FDD" w:rsidRDefault="00CB3FDD" w:rsidP="00CB3FDD">
      <w:pPr>
        <w:pStyle w:val="Funotentext"/>
        <w:rPr>
          <w:lang w:val="de-DE"/>
        </w:rPr>
      </w:pPr>
      <w:r>
        <w:rPr>
          <w:lang w:val="de-DE"/>
        </w:rPr>
        <w:t>Es schützt Menschen mit Behinderungen insbesondere davor, in der Ausübung ihrer Grund- und Menschenrechte, wie sie im Völkerrecht, in der Bundesverfassung und in der Kantonsverfassung verankert sind, aufgrund ihrer Behinderung benachteiligt zu werden.“ (Art. 1 Behindertenrechtegesetz BS [BRG; SR/BS 140.500]; § 1 Behindertenrechtegesetz BL [BRG BL; SR/BL 109] fast wortwörtlich gleich).</w:t>
      </w:r>
    </w:p>
  </w:footnote>
  <w:footnote w:id="46">
    <w:p w14:paraId="30F8E920" w14:textId="77777777" w:rsidR="00CB3FDD" w:rsidRDefault="00CB3FDD" w:rsidP="00CB3FDD">
      <w:pPr>
        <w:pStyle w:val="Funotentext"/>
      </w:pPr>
      <w:r>
        <w:rPr>
          <w:rStyle w:val="Funotenzeichen"/>
        </w:rPr>
        <w:footnoteRef/>
      </w:r>
      <w:r>
        <w:t xml:space="preserve"> «Dieses Gesetz hat zum Zweck, die Grund- und Menschenrechte von Menschen mit Behinderungen in allen Bereichen des privaten, beruflichen und gesellschaftlichen Lebens zu verwirklichen und die Inklusion von Menschen mit Behinderungen in die Gesellschaft zu fördern.» (Art. 1 Abs. 1 GRIMB; SR/VS 850.6).</w:t>
      </w:r>
    </w:p>
  </w:footnote>
  <w:footnote w:id="47">
    <w:p w14:paraId="58142C57" w14:textId="77777777" w:rsidR="00CB3FDD" w:rsidRDefault="00CB3FDD" w:rsidP="00CB3FDD">
      <w:pPr>
        <w:pStyle w:val="Funotentext"/>
        <w:rPr>
          <w:lang w:val="de-DE"/>
        </w:rPr>
      </w:pPr>
      <w:r>
        <w:rPr>
          <w:rStyle w:val="Funotenzeichen"/>
        </w:rPr>
        <w:footnoteRef/>
      </w:r>
      <w:r>
        <w:t xml:space="preserve"> </w:t>
      </w:r>
      <w:r>
        <w:rPr>
          <w:lang w:val="de-DE"/>
        </w:rPr>
        <w:t>Falls der im VE-BehiG vorgeschlagene Abschnitt 3a bestehen bleibt.</w:t>
      </w:r>
    </w:p>
  </w:footnote>
  <w:footnote w:id="48">
    <w:p w14:paraId="18F5FCE5" w14:textId="77777777" w:rsidR="00CB3FDD" w:rsidRDefault="00CB3FDD" w:rsidP="00CB3FDD">
      <w:pPr>
        <w:pStyle w:val="Funotentext"/>
        <w:rPr>
          <w:lang w:val="de-DE"/>
        </w:rPr>
      </w:pPr>
      <w:r>
        <w:rPr>
          <w:rStyle w:val="Funotenzeichen"/>
        </w:rPr>
        <w:footnoteRef/>
      </w:r>
      <w:r>
        <w:t xml:space="preserve"> Inspiriert durch </w:t>
      </w:r>
      <w:r>
        <w:rPr>
          <w:lang w:val="de-DE"/>
        </w:rPr>
        <w:t xml:space="preserve">§2 Abs. 1 und 2 BRG BL. </w:t>
      </w:r>
    </w:p>
  </w:footnote>
  <w:footnote w:id="49">
    <w:p w14:paraId="2FF39743" w14:textId="77777777" w:rsidR="00CB3FDD" w:rsidRDefault="00CB3FDD" w:rsidP="00CB3FDD">
      <w:pPr>
        <w:pStyle w:val="Funotentext"/>
        <w:rPr>
          <w:lang w:val="de-DE"/>
        </w:rPr>
      </w:pPr>
      <w:r>
        <w:rPr>
          <w:rStyle w:val="Funotenzeichen"/>
        </w:rPr>
        <w:footnoteRef/>
      </w:r>
      <w:r>
        <w:t xml:space="preserve"> </w:t>
      </w:r>
      <w:r>
        <w:rPr>
          <w:lang w:val="de-DE"/>
        </w:rPr>
        <w:t>Erläuterungen VE-BehiG, S. 21.</w:t>
      </w:r>
    </w:p>
  </w:footnote>
  <w:footnote w:id="50">
    <w:p w14:paraId="2EFEB66A" w14:textId="77777777" w:rsidR="00CB3FDD" w:rsidRDefault="00CB3FDD" w:rsidP="00CB3FDD">
      <w:pPr>
        <w:pStyle w:val="Funotentext"/>
        <w:rPr>
          <w:lang w:val="de-DE"/>
        </w:rPr>
      </w:pPr>
      <w:r>
        <w:rPr>
          <w:rStyle w:val="Funotenzeichen"/>
        </w:rPr>
        <w:footnoteRef/>
      </w:r>
      <w:r>
        <w:t xml:space="preserve"> </w:t>
      </w:r>
      <w:r>
        <w:rPr>
          <w:lang w:val="de-DE"/>
        </w:rPr>
        <w:t>Erläuterungen VE-BehiG, S. 21.</w:t>
      </w:r>
    </w:p>
  </w:footnote>
  <w:footnote w:id="51">
    <w:p w14:paraId="7CA8C883" w14:textId="77777777" w:rsidR="00CB3FDD" w:rsidRDefault="00CB3FDD" w:rsidP="00CB3FDD">
      <w:pPr>
        <w:pStyle w:val="Funotentext"/>
      </w:pPr>
      <w:r>
        <w:rPr>
          <w:rStyle w:val="Funotenzeichen"/>
        </w:rPr>
        <w:footnoteRef/>
      </w:r>
      <w:r>
        <w:t xml:space="preserve"> Dies widerspricht dem Ziel gemäss Erläuterungen VE-BehiG, S. 21, wonach: «Ein wichtiges Anliegen bei der Erarbeitung des BehiG war die Definition bestimmter Begriffe im Zusammenhang mit Behinderung. Mit der Teilrevision des BehiG soll das Verbot der Benachteiligung und Diskriminierung aufgrund einer Behinderung auf verständliche Weise verankert werden». </w:t>
      </w:r>
    </w:p>
  </w:footnote>
  <w:footnote w:id="52">
    <w:p w14:paraId="722138C8" w14:textId="77777777" w:rsidR="00CB3FDD" w:rsidRDefault="00CB3FDD" w:rsidP="00CB3FDD">
      <w:pPr>
        <w:pStyle w:val="Funotentext"/>
        <w:rPr>
          <w:lang w:val="de-DE"/>
        </w:rPr>
      </w:pPr>
      <w:r>
        <w:rPr>
          <w:rStyle w:val="Funotenzeichen"/>
        </w:rPr>
        <w:footnoteRef/>
      </w:r>
      <w:r>
        <w:t xml:space="preserve"> Der Begriff der Intelligenz selber wie auch die Instrumente, die zu ihrer Messung entwickelt wurden, sind als solche soziale Konstrukte.</w:t>
      </w:r>
    </w:p>
  </w:footnote>
  <w:footnote w:id="53">
    <w:p w14:paraId="7F8C3FC5" w14:textId="77777777" w:rsidR="00CB3FDD" w:rsidRDefault="00CB3FDD" w:rsidP="00CB3FDD">
      <w:pPr>
        <w:pStyle w:val="Funotentext"/>
        <w:rPr>
          <w:lang w:val="fr-CH"/>
        </w:rPr>
      </w:pPr>
      <w:r>
        <w:rPr>
          <w:rStyle w:val="Funotenzeichen"/>
        </w:rPr>
        <w:footnoteRef/>
      </w:r>
      <w:r>
        <w:rPr>
          <w:lang w:val="fr-CH"/>
        </w:rPr>
        <w:t xml:space="preserve"> BRK Ausschuss, Observation générale n° 4 (2016) Article 24: Education, N 28.</w:t>
      </w:r>
    </w:p>
  </w:footnote>
  <w:footnote w:id="54">
    <w:p w14:paraId="42777728" w14:textId="77777777" w:rsidR="00CB3FDD" w:rsidRDefault="00CB3FDD" w:rsidP="00CB3FDD">
      <w:pPr>
        <w:pStyle w:val="Funotentext"/>
      </w:pPr>
      <w:r>
        <w:rPr>
          <w:rStyle w:val="Funotenzeichen"/>
        </w:rPr>
        <w:footnoteRef/>
      </w:r>
      <w:r>
        <w:t xml:space="preserve"> So bereits die Kantone BS, BL und VS: BRG (BS), § 4, Abs. 2 und BRG BL § 3, Abs. 3 : « angemessene Massnahmen » ; GRIMB (VS) §35b Abs. 2 : « angemessene Vorkehrungen », ohne jedoch die Begriffe zu definieren.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8F01" w14:textId="02C57484" w:rsidR="002E4F9E" w:rsidRPr="0037387C" w:rsidRDefault="00D22627" w:rsidP="0037387C">
    <w:pPr>
      <w:pStyle w:val="Kopfzeile"/>
      <w:rPr>
        <w:rStyle w:val="Seitenzahl"/>
      </w:rPr>
    </w:pPr>
    <w:r>
      <w:rPr>
        <w:noProof/>
      </w:rPr>
      <w:drawing>
        <wp:anchor distT="0" distB="0" distL="114300" distR="114300" simplePos="0" relativeHeight="251672576" behindDoc="0" locked="1" layoutInCell="1" allowOverlap="1" wp14:anchorId="590B5EE1" wp14:editId="2443B5A2">
          <wp:simplePos x="0" y="0"/>
          <wp:positionH relativeFrom="page">
            <wp:posOffset>864235</wp:posOffset>
          </wp:positionH>
          <wp:positionV relativeFrom="page">
            <wp:posOffset>360045</wp:posOffset>
          </wp:positionV>
          <wp:extent cx="2316600" cy="478800"/>
          <wp:effectExtent l="0" t="0" r="7620" b="0"/>
          <wp:wrapNone/>
          <wp:docPr id="198" name="logo_s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16600" cy="478800"/>
                  </a:xfrm>
                  <a:prstGeom prst="rect">
                    <a:avLst/>
                  </a:prstGeom>
                </pic:spPr>
              </pic:pic>
            </a:graphicData>
          </a:graphic>
          <wp14:sizeRelH relativeFrom="margin">
            <wp14:pctWidth>0</wp14:pctWidth>
          </wp14:sizeRelH>
          <wp14:sizeRelV relativeFrom="margin">
            <wp14:pctHeight>0</wp14:pctHeight>
          </wp14:sizeRelV>
        </wp:anchor>
      </w:drawing>
    </w:r>
    <w:r w:rsidR="002E4F9E">
      <w:rPr>
        <w:noProof/>
      </w:rPr>
      <w:drawing>
        <wp:anchor distT="0" distB="0" distL="114300" distR="114300" simplePos="0" relativeHeight="251664384" behindDoc="0" locked="1" layoutInCell="1" allowOverlap="1" wp14:anchorId="5C274C38" wp14:editId="251967C5">
          <wp:simplePos x="0" y="0"/>
          <wp:positionH relativeFrom="page">
            <wp:posOffset>864235</wp:posOffset>
          </wp:positionH>
          <wp:positionV relativeFrom="page">
            <wp:posOffset>360045</wp:posOffset>
          </wp:positionV>
          <wp:extent cx="2316600" cy="478800"/>
          <wp:effectExtent l="0" t="0" r="7620" b="0"/>
          <wp:wrapNone/>
          <wp:docPr id="200" name="logo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16600" cy="478800"/>
                  </a:xfrm>
                  <a:prstGeom prst="rect">
                    <a:avLst/>
                  </a:prstGeom>
                </pic:spPr>
              </pic:pic>
            </a:graphicData>
          </a:graphic>
          <wp14:sizeRelH relativeFrom="margin">
            <wp14:pctWidth>0</wp14:pctWidth>
          </wp14:sizeRelH>
          <wp14:sizeRelV relativeFrom="margin">
            <wp14:pctHeight>0</wp14:pctHeight>
          </wp14:sizeRelV>
        </wp:anchor>
      </w:drawing>
    </w:r>
    <w:r w:rsidR="002E4F9E">
      <w:tab/>
    </w:r>
    <w:r w:rsidR="002E4F9E" w:rsidRPr="0037387C">
      <w:rPr>
        <w:rStyle w:val="Seitenzahl"/>
      </w:rPr>
      <w:t xml:space="preserve">Seite </w:t>
    </w:r>
    <w:r w:rsidR="002E4F9E" w:rsidRPr="0037387C">
      <w:rPr>
        <w:rStyle w:val="Seitenzahl"/>
      </w:rPr>
      <w:fldChar w:fldCharType="begin"/>
    </w:r>
    <w:r w:rsidR="002E4F9E" w:rsidRPr="0037387C">
      <w:rPr>
        <w:rStyle w:val="Seitenzahl"/>
      </w:rPr>
      <w:instrText xml:space="preserve"> PAGE  </w:instrText>
    </w:r>
    <w:r w:rsidR="002E4F9E" w:rsidRPr="0037387C">
      <w:rPr>
        <w:rStyle w:val="Seitenzahl"/>
      </w:rPr>
      <w:fldChar w:fldCharType="separate"/>
    </w:r>
    <w:r w:rsidR="002E4F9E" w:rsidRPr="0037387C">
      <w:rPr>
        <w:rStyle w:val="Seitenzahl"/>
      </w:rPr>
      <w:t>2</w:t>
    </w:r>
    <w:r w:rsidR="002E4F9E" w:rsidRPr="0037387C">
      <w:rPr>
        <w:rStyle w:val="Seitenzahl"/>
      </w:rPr>
      <w:fldChar w:fldCharType="end"/>
    </w:r>
    <w:r w:rsidR="002E4F9E" w:rsidRPr="0037387C">
      <w:rPr>
        <w:rStyle w:val="Seitenzahl"/>
      </w:rPr>
      <w:t xml:space="preserve"> von </w:t>
    </w:r>
    <w:r w:rsidR="002E4F9E" w:rsidRPr="0037387C">
      <w:rPr>
        <w:rStyle w:val="Seitenzahl"/>
      </w:rPr>
      <w:fldChar w:fldCharType="begin"/>
    </w:r>
    <w:r w:rsidR="002E4F9E" w:rsidRPr="0037387C">
      <w:rPr>
        <w:rStyle w:val="Seitenzahl"/>
      </w:rPr>
      <w:instrText xml:space="preserve"> NUMPAGES  </w:instrText>
    </w:r>
    <w:r w:rsidR="002E4F9E" w:rsidRPr="0037387C">
      <w:rPr>
        <w:rStyle w:val="Seitenzahl"/>
      </w:rPr>
      <w:fldChar w:fldCharType="separate"/>
    </w:r>
    <w:r w:rsidR="002E4F9E" w:rsidRPr="0037387C">
      <w:rPr>
        <w:rStyle w:val="Seitenzahl"/>
      </w:rPr>
      <w:t>2</w:t>
    </w:r>
    <w:r w:rsidR="002E4F9E" w:rsidRPr="0037387C">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F7C3" w14:textId="5AAEC04A" w:rsidR="002E4F9E" w:rsidRDefault="00D22627" w:rsidP="00123210">
    <w:pPr>
      <w:pStyle w:val="Kopfzeile"/>
      <w:spacing w:line="2620" w:lineRule="exact"/>
    </w:pPr>
    <w:r>
      <w:rPr>
        <w:noProof/>
      </w:rPr>
      <w:drawing>
        <wp:anchor distT="0" distB="0" distL="114300" distR="114300" simplePos="0" relativeHeight="251670528" behindDoc="0" locked="1" layoutInCell="1" allowOverlap="1" wp14:anchorId="2B188D32" wp14:editId="67ED8576">
          <wp:simplePos x="0" y="0"/>
          <wp:positionH relativeFrom="page">
            <wp:posOffset>864235</wp:posOffset>
          </wp:positionH>
          <wp:positionV relativeFrom="page">
            <wp:posOffset>360045</wp:posOffset>
          </wp:positionV>
          <wp:extent cx="2316600" cy="478800"/>
          <wp:effectExtent l="0" t="0" r="7620" b="0"/>
          <wp:wrapNone/>
          <wp:docPr id="201" name="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16600" cy="478800"/>
                  </a:xfrm>
                  <a:prstGeom prst="rect">
                    <a:avLst/>
                  </a:prstGeom>
                </pic:spPr>
              </pic:pic>
            </a:graphicData>
          </a:graphic>
          <wp14:sizeRelH relativeFrom="margin">
            <wp14:pctWidth>0</wp14:pctWidth>
          </wp14:sizeRelH>
          <wp14:sizeRelV relativeFrom="margin">
            <wp14:pctHeight>0</wp14:pctHeight>
          </wp14:sizeRelV>
        </wp:anchor>
      </w:drawing>
    </w:r>
    <w:r w:rsidR="002E4F9E">
      <w:rPr>
        <w:noProof/>
      </w:rPr>
      <mc:AlternateContent>
        <mc:Choice Requires="wps">
          <w:drawing>
            <wp:anchor distT="0" distB="0" distL="114300" distR="114300" simplePos="0" relativeHeight="251669504" behindDoc="0" locked="1" layoutInCell="1" allowOverlap="1" wp14:anchorId="1E25F8F4" wp14:editId="31CC7080">
              <wp:simplePos x="0" y="0"/>
              <wp:positionH relativeFrom="page">
                <wp:posOffset>902335</wp:posOffset>
              </wp:positionH>
              <wp:positionV relativeFrom="page">
                <wp:posOffset>1941195</wp:posOffset>
              </wp:positionV>
              <wp:extent cx="297116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11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69620" id="Straight Connector 14"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1.05pt,152.85pt" to="30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" strokecolor="black [3213]" strokeweight=".25pt">
              <v:stroke joinstyle="miter"/>
              <w10:wrap anchorx="page" anchory="page"/>
              <w10:anchorlock/>
            </v:line>
          </w:pict>
        </mc:Fallback>
      </mc:AlternateContent>
    </w:r>
    <w:r w:rsidR="002E4F9E">
      <w:rPr>
        <w:noProof/>
      </w:rPr>
      <mc:AlternateContent>
        <mc:Choice Requires="wps">
          <w:drawing>
            <wp:anchor distT="0" distB="0" distL="114300" distR="114300" simplePos="0" relativeHeight="251657215" behindDoc="0" locked="1" layoutInCell="1" allowOverlap="1" wp14:anchorId="0B049966" wp14:editId="031B4F91">
              <wp:simplePos x="0" y="0"/>
              <wp:positionH relativeFrom="page">
                <wp:posOffset>902970</wp:posOffset>
              </wp:positionH>
              <wp:positionV relativeFrom="page">
                <wp:posOffset>1758950</wp:posOffset>
              </wp:positionV>
              <wp:extent cx="2971165" cy="167640"/>
              <wp:effectExtent l="0" t="0" r="635" b="3810"/>
              <wp:wrapNone/>
              <wp:docPr id="12" name="box_absender"/>
              <wp:cNvGraphicFramePr/>
              <a:graphic xmlns:a="http://schemas.openxmlformats.org/drawingml/2006/main">
                <a:graphicData uri="http://schemas.microsoft.com/office/word/2010/wordprocessingShape">
                  <wps:wsp>
                    <wps:cNvSpPr txBox="1"/>
                    <wps:spPr>
                      <a:xfrm>
                        <a:off x="0" y="0"/>
                        <a:ext cx="2971165" cy="167640"/>
                      </a:xfrm>
                      <a:prstGeom prst="rect">
                        <a:avLst/>
                      </a:prstGeom>
                      <a:noFill/>
                      <a:ln w="6350">
                        <a:noFill/>
                      </a:ln>
                    </wps:spPr>
                    <wps:txbx>
                      <w:txbxContent>
                        <w:p w14:paraId="2F85010B" w14:textId="77777777" w:rsidR="002E4F9E" w:rsidRDefault="00137D99" w:rsidP="00EA3414">
                          <w:pPr>
                            <w:pStyle w:val="Umschlagabsenderadresse"/>
                          </w:pPr>
                          <w:r>
                            <w:t>Pro Infirmis, Postfach, 8032 Zürich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49966" id="_x0000_t202" coordsize="21600,21600" o:spt="202" path="m,l,21600r21600,l21600,xe">
              <v:stroke joinstyle="miter"/>
              <v:path gradientshapeok="t" o:connecttype="rect"/>
            </v:shapetype>
            <v:shape id="box_absender" o:spid="_x0000_s1026" type="#_x0000_t202" style="position:absolute;margin-left:71.1pt;margin-top:138.5pt;width:233.95pt;height:13.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" filled="f" stroked="f" strokeweight=".5pt">
              <v:textbox inset="0,0,0,0">
                <w:txbxContent>
                  <w:p w14:paraId="2F85010B" w14:textId="77777777" w:rsidR="002E4F9E" w:rsidRDefault="00137D99" w:rsidP="00EA3414">
                    <w:pPr>
                      <w:pStyle w:val="Umschlagabsenderadresse"/>
                    </w:pPr>
                    <w:r>
                      <w:t>Pro Infirmis, Postfach, 8032 Zürich</w:t>
                    </w:r>
                  </w:p>
                </w:txbxContent>
              </v:textbox>
              <w10:wrap anchorx="page" anchory="page"/>
              <w10:anchorlock/>
            </v:shape>
          </w:pict>
        </mc:Fallback>
      </mc:AlternateContent>
    </w:r>
    <w:r w:rsidR="002E4F9E">
      <w:rPr>
        <w:noProof/>
      </w:rPr>
      <mc:AlternateContent>
        <mc:Choice Requires="wps">
          <w:drawing>
            <wp:anchor distT="0" distB="0" distL="114300" distR="114300" simplePos="0" relativeHeight="251662336" behindDoc="0" locked="1" layoutInCell="1" allowOverlap="1" wp14:anchorId="4CF1AF57" wp14:editId="6EE0698E">
              <wp:simplePos x="0" y="0"/>
              <wp:positionH relativeFrom="page">
                <wp:posOffset>4500880</wp:posOffset>
              </wp:positionH>
              <wp:positionV relativeFrom="page">
                <wp:posOffset>464820</wp:posOffset>
              </wp:positionV>
              <wp:extent cx="2340000" cy="2340000"/>
              <wp:effectExtent l="0" t="0" r="3175" b="3175"/>
              <wp:wrapNone/>
              <wp:docPr id="5" name="box_kontakt"/>
              <wp:cNvGraphicFramePr/>
              <a:graphic xmlns:a="http://schemas.openxmlformats.org/drawingml/2006/main">
                <a:graphicData uri="http://schemas.microsoft.com/office/word/2010/wordprocessingShape">
                  <wps:wsp>
                    <wps:cNvSpPr txBox="1"/>
                    <wps:spPr>
                      <a:xfrm>
                        <a:off x="0" y="0"/>
                        <a:ext cx="2340000" cy="234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3675"/>
                          </w:tblGrid>
                          <w:tr w:rsidR="002E4F9E" w14:paraId="20868D34" w14:textId="77777777" w:rsidTr="002F29C6">
                            <w:tc>
                              <w:tcPr>
                                <w:tcW w:w="3675" w:type="dxa"/>
                              </w:tcPr>
                              <w:p w14:paraId="542B69CC" w14:textId="77777777" w:rsidR="002E4F9E" w:rsidRDefault="00137D99" w:rsidP="00EA3414">
                                <w:pPr>
                                  <w:pStyle w:val="Umschlagabsenderadresse"/>
                                </w:pPr>
                                <w:r>
                                  <w:rPr>
                                    <w:b/>
                                  </w:rPr>
                                  <w:t>Hauptsitz</w:t>
                                </w:r>
                              </w:p>
                            </w:tc>
                          </w:tr>
                          <w:tr w:rsidR="002E4F9E" w14:paraId="130C1423" w14:textId="77777777" w:rsidTr="002F29C6">
                            <w:tc>
                              <w:tcPr>
                                <w:tcW w:w="3675" w:type="dxa"/>
                              </w:tcPr>
                              <w:p w14:paraId="64E3D26A" w14:textId="77777777" w:rsidR="002E4F9E" w:rsidRDefault="002E4F9E" w:rsidP="0037387C">
                                <w:pPr>
                                  <w:pStyle w:val="Umschlagabsenderadresse"/>
                                </w:pPr>
                              </w:p>
                            </w:tc>
                          </w:tr>
                          <w:tr w:rsidR="002E4F9E" w14:paraId="00A67390" w14:textId="77777777" w:rsidTr="002F29C6">
                            <w:tc>
                              <w:tcPr>
                                <w:tcW w:w="3675" w:type="dxa"/>
                              </w:tcPr>
                              <w:p w14:paraId="516D3E35" w14:textId="2E727265" w:rsidR="00137D99" w:rsidRDefault="00137D99" w:rsidP="0037387C">
                                <w:pPr>
                                  <w:pStyle w:val="Umschlagabsenderadresse"/>
                                </w:pPr>
                                <w:r>
                                  <w:t>Direktion</w:t>
                                </w:r>
                              </w:p>
                              <w:p w14:paraId="609388A5" w14:textId="77777777" w:rsidR="00137D99" w:rsidRDefault="00137D99" w:rsidP="0037387C">
                                <w:pPr>
                                  <w:pStyle w:val="Umschlagabsenderadresse"/>
                                </w:pPr>
                                <w:r>
                                  <w:t>Feldeggstrasse 71</w:t>
                                </w:r>
                              </w:p>
                              <w:p w14:paraId="16EE1842" w14:textId="77777777" w:rsidR="00137D99" w:rsidRDefault="00137D99" w:rsidP="0037387C">
                                <w:pPr>
                                  <w:pStyle w:val="Umschlagabsenderadresse"/>
                                </w:pPr>
                                <w:r>
                                  <w:t>Postfach</w:t>
                                </w:r>
                              </w:p>
                              <w:p w14:paraId="4725482F" w14:textId="77777777" w:rsidR="00137D99" w:rsidRDefault="00137D99" w:rsidP="0037387C">
                                <w:pPr>
                                  <w:pStyle w:val="Umschlagabsenderadresse"/>
                                </w:pPr>
                                <w:r>
                                  <w:t>8032 Zürich</w:t>
                                </w:r>
                              </w:p>
                              <w:p w14:paraId="7C4F135B" w14:textId="77777777" w:rsidR="002E4F9E" w:rsidRDefault="00137D99" w:rsidP="0037387C">
                                <w:pPr>
                                  <w:pStyle w:val="Umschlagabsenderadresse"/>
                                </w:pPr>
                                <w:r>
                                  <w:t>Tel. +41 58 775 20 00</w:t>
                                </w:r>
                              </w:p>
                            </w:tc>
                          </w:tr>
                          <w:tr w:rsidR="002E4F9E" w14:paraId="3E503D9C" w14:textId="77777777" w:rsidTr="002F29C6">
                            <w:tc>
                              <w:tcPr>
                                <w:tcW w:w="3675" w:type="dxa"/>
                              </w:tcPr>
                              <w:p w14:paraId="0CAC0533" w14:textId="77777777" w:rsidR="002E4F9E" w:rsidRDefault="002E4F9E" w:rsidP="0037387C">
                                <w:pPr>
                                  <w:pStyle w:val="Umschlagabsenderadresse"/>
                                </w:pPr>
                              </w:p>
                            </w:tc>
                          </w:tr>
                          <w:tr w:rsidR="002E4F9E" w14:paraId="052677C8" w14:textId="77777777" w:rsidTr="002F29C6">
                            <w:tc>
                              <w:tcPr>
                                <w:tcW w:w="3675" w:type="dxa"/>
                              </w:tcPr>
                              <w:p w14:paraId="275864F9" w14:textId="77777777" w:rsidR="002E4F9E" w:rsidRPr="00E62ABE" w:rsidRDefault="002E4F9E" w:rsidP="0037387C">
                                <w:pPr>
                                  <w:pStyle w:val="Umschlagabsenderadresse"/>
                                  <w:rPr>
                                    <w:b/>
                                  </w:rPr>
                                </w:pPr>
                                <w:r w:rsidRPr="00E62ABE">
                                  <w:rPr>
                                    <w:b/>
                                  </w:rPr>
                                  <w:t>Zuständig</w:t>
                                </w:r>
                              </w:p>
                            </w:tc>
                          </w:tr>
                          <w:tr w:rsidR="002E4F9E" w14:paraId="2068CDA5" w14:textId="77777777" w:rsidTr="002F29C6">
                            <w:tc>
                              <w:tcPr>
                                <w:tcW w:w="3675" w:type="dxa"/>
                              </w:tcPr>
                              <w:p w14:paraId="2FCDE689" w14:textId="57EA21AD" w:rsidR="00137D99" w:rsidRDefault="00137D99" w:rsidP="0037387C">
                                <w:pPr>
                                  <w:pStyle w:val="Umschlagabsenderadresse"/>
                                </w:pPr>
                                <w:r>
                                  <w:t>Philipp Sch</w:t>
                                </w:r>
                                <w:r w:rsidR="00E049D0">
                                  <w:t>ü</w:t>
                                </w:r>
                                <w:r>
                                  <w:t>epp</w:t>
                                </w:r>
                              </w:p>
                              <w:p w14:paraId="0C8325FA" w14:textId="205929E3" w:rsidR="00E049D0" w:rsidRDefault="00E049D0" w:rsidP="0037387C">
                                <w:pPr>
                                  <w:pStyle w:val="Umschlagabsenderadresse"/>
                                </w:pPr>
                                <w:r>
                                  <w:t>Verantwortlicher Public Affairs</w:t>
                                </w:r>
                              </w:p>
                              <w:p w14:paraId="0911D610" w14:textId="77777777" w:rsidR="00137D99" w:rsidRDefault="00137D99" w:rsidP="0037387C">
                                <w:pPr>
                                  <w:pStyle w:val="Umschlagabsenderadresse"/>
                                </w:pPr>
                                <w:r>
                                  <w:t>Tel. direkt +41 58 775 26 62</w:t>
                                </w:r>
                              </w:p>
                              <w:p w14:paraId="0C4DD173" w14:textId="77777777" w:rsidR="002E4F9E" w:rsidRPr="0037387C" w:rsidRDefault="00137D99" w:rsidP="0037387C">
                                <w:pPr>
                                  <w:pStyle w:val="Umschlagabsenderadresse"/>
                                </w:pPr>
                                <w:r>
                                  <w:t>philipp.schueepp@proinfirmis.ch</w:t>
                                </w:r>
                              </w:p>
                            </w:tc>
                          </w:tr>
                        </w:tbl>
                        <w:p w14:paraId="6FA5F480" w14:textId="77777777" w:rsidR="002E4F9E" w:rsidRDefault="002E4F9E" w:rsidP="0037387C">
                          <w:pPr>
                            <w:pStyle w:val="Umschlagabsender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AF57" id="box_kontakt" o:spid="_x0000_s1027" type="#_x0000_t202" style="position:absolute;margin-left:354.4pt;margin-top:36.6pt;width:184.25pt;height:18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" filled="f" stroked="f" strokeweight=".5pt">
              <v:textbox inset="0,0,0,0">
                <w:txbxContent>
                  <w:tbl>
                    <w:tblPr>
                      <w:tblStyle w:val="Tabellenraster"/>
                      <w:tblW w:w="0" w:type="auto"/>
                      <w:tblLook w:val="04A0" w:firstRow="1" w:lastRow="0" w:firstColumn="1" w:lastColumn="0" w:noHBand="0" w:noVBand="1"/>
                    </w:tblPr>
                    <w:tblGrid>
                      <w:gridCol w:w="3675"/>
                    </w:tblGrid>
                    <w:tr w:rsidR="002E4F9E" w14:paraId="20868D34" w14:textId="77777777" w:rsidTr="002F29C6">
                      <w:tc>
                        <w:tcPr>
                          <w:tcW w:w="3675" w:type="dxa"/>
                        </w:tcPr>
                        <w:p w14:paraId="542B69CC" w14:textId="77777777" w:rsidR="002E4F9E" w:rsidRDefault="00137D99" w:rsidP="00EA3414">
                          <w:pPr>
                            <w:pStyle w:val="Umschlagabsenderadresse"/>
                          </w:pPr>
                          <w:r>
                            <w:rPr>
                              <w:b/>
                            </w:rPr>
                            <w:t>Hauptsitz</w:t>
                          </w:r>
                        </w:p>
                      </w:tc>
                    </w:tr>
                    <w:tr w:rsidR="002E4F9E" w14:paraId="130C1423" w14:textId="77777777" w:rsidTr="002F29C6">
                      <w:tc>
                        <w:tcPr>
                          <w:tcW w:w="3675" w:type="dxa"/>
                        </w:tcPr>
                        <w:p w14:paraId="64E3D26A" w14:textId="77777777" w:rsidR="002E4F9E" w:rsidRDefault="002E4F9E" w:rsidP="0037387C">
                          <w:pPr>
                            <w:pStyle w:val="Umschlagabsenderadresse"/>
                          </w:pPr>
                        </w:p>
                      </w:tc>
                    </w:tr>
                    <w:tr w:rsidR="002E4F9E" w14:paraId="00A67390" w14:textId="77777777" w:rsidTr="002F29C6">
                      <w:tc>
                        <w:tcPr>
                          <w:tcW w:w="3675" w:type="dxa"/>
                        </w:tcPr>
                        <w:p w14:paraId="516D3E35" w14:textId="2E727265" w:rsidR="00137D99" w:rsidRDefault="00137D99" w:rsidP="0037387C">
                          <w:pPr>
                            <w:pStyle w:val="Umschlagabsenderadresse"/>
                          </w:pPr>
                          <w:r>
                            <w:t>Direktion</w:t>
                          </w:r>
                        </w:p>
                        <w:p w14:paraId="609388A5" w14:textId="77777777" w:rsidR="00137D99" w:rsidRDefault="00137D99" w:rsidP="0037387C">
                          <w:pPr>
                            <w:pStyle w:val="Umschlagabsenderadresse"/>
                          </w:pPr>
                          <w:r>
                            <w:t>Feldeggstrasse 71</w:t>
                          </w:r>
                        </w:p>
                        <w:p w14:paraId="16EE1842" w14:textId="77777777" w:rsidR="00137D99" w:rsidRDefault="00137D99" w:rsidP="0037387C">
                          <w:pPr>
                            <w:pStyle w:val="Umschlagabsenderadresse"/>
                          </w:pPr>
                          <w:r>
                            <w:t>Postfach</w:t>
                          </w:r>
                        </w:p>
                        <w:p w14:paraId="4725482F" w14:textId="77777777" w:rsidR="00137D99" w:rsidRDefault="00137D99" w:rsidP="0037387C">
                          <w:pPr>
                            <w:pStyle w:val="Umschlagabsenderadresse"/>
                          </w:pPr>
                          <w:r>
                            <w:t>8032 Zürich</w:t>
                          </w:r>
                        </w:p>
                        <w:p w14:paraId="7C4F135B" w14:textId="77777777" w:rsidR="002E4F9E" w:rsidRDefault="00137D99" w:rsidP="0037387C">
                          <w:pPr>
                            <w:pStyle w:val="Umschlagabsenderadresse"/>
                          </w:pPr>
                          <w:r>
                            <w:t>Tel. +41 58 775 20 00</w:t>
                          </w:r>
                        </w:p>
                      </w:tc>
                    </w:tr>
                    <w:tr w:rsidR="002E4F9E" w14:paraId="3E503D9C" w14:textId="77777777" w:rsidTr="002F29C6">
                      <w:tc>
                        <w:tcPr>
                          <w:tcW w:w="3675" w:type="dxa"/>
                        </w:tcPr>
                        <w:p w14:paraId="0CAC0533" w14:textId="77777777" w:rsidR="002E4F9E" w:rsidRDefault="002E4F9E" w:rsidP="0037387C">
                          <w:pPr>
                            <w:pStyle w:val="Umschlagabsenderadresse"/>
                          </w:pPr>
                        </w:p>
                      </w:tc>
                    </w:tr>
                    <w:tr w:rsidR="002E4F9E" w14:paraId="052677C8" w14:textId="77777777" w:rsidTr="002F29C6">
                      <w:tc>
                        <w:tcPr>
                          <w:tcW w:w="3675" w:type="dxa"/>
                        </w:tcPr>
                        <w:p w14:paraId="275864F9" w14:textId="77777777" w:rsidR="002E4F9E" w:rsidRPr="00E62ABE" w:rsidRDefault="002E4F9E" w:rsidP="0037387C">
                          <w:pPr>
                            <w:pStyle w:val="Umschlagabsenderadresse"/>
                            <w:rPr>
                              <w:b/>
                            </w:rPr>
                          </w:pPr>
                          <w:r w:rsidRPr="00E62ABE">
                            <w:rPr>
                              <w:b/>
                            </w:rPr>
                            <w:t>Zuständig</w:t>
                          </w:r>
                        </w:p>
                      </w:tc>
                    </w:tr>
                    <w:tr w:rsidR="002E4F9E" w14:paraId="2068CDA5" w14:textId="77777777" w:rsidTr="002F29C6">
                      <w:tc>
                        <w:tcPr>
                          <w:tcW w:w="3675" w:type="dxa"/>
                        </w:tcPr>
                        <w:p w14:paraId="2FCDE689" w14:textId="57EA21AD" w:rsidR="00137D99" w:rsidRDefault="00137D99" w:rsidP="0037387C">
                          <w:pPr>
                            <w:pStyle w:val="Umschlagabsenderadresse"/>
                          </w:pPr>
                          <w:r>
                            <w:t>Philipp Sch</w:t>
                          </w:r>
                          <w:r w:rsidR="00E049D0">
                            <w:t>ü</w:t>
                          </w:r>
                          <w:r>
                            <w:t>epp</w:t>
                          </w:r>
                        </w:p>
                        <w:p w14:paraId="0C8325FA" w14:textId="205929E3" w:rsidR="00E049D0" w:rsidRDefault="00E049D0" w:rsidP="0037387C">
                          <w:pPr>
                            <w:pStyle w:val="Umschlagabsenderadresse"/>
                          </w:pPr>
                          <w:r>
                            <w:t>Verantwortlicher Public Affairs</w:t>
                          </w:r>
                        </w:p>
                        <w:p w14:paraId="0911D610" w14:textId="77777777" w:rsidR="00137D99" w:rsidRDefault="00137D99" w:rsidP="0037387C">
                          <w:pPr>
                            <w:pStyle w:val="Umschlagabsenderadresse"/>
                          </w:pPr>
                          <w:r>
                            <w:t>Tel. direkt +41 58 775 26 62</w:t>
                          </w:r>
                        </w:p>
                        <w:p w14:paraId="0C4DD173" w14:textId="77777777" w:rsidR="002E4F9E" w:rsidRPr="0037387C" w:rsidRDefault="00137D99" w:rsidP="0037387C">
                          <w:pPr>
                            <w:pStyle w:val="Umschlagabsenderadresse"/>
                          </w:pPr>
                          <w:r>
                            <w:t>philipp.schueepp@proinfirmis.ch</w:t>
                          </w:r>
                        </w:p>
                      </w:tc>
                    </w:tr>
                  </w:tbl>
                  <w:p w14:paraId="6FA5F480" w14:textId="77777777" w:rsidR="002E4F9E" w:rsidRDefault="002E4F9E" w:rsidP="0037387C">
                    <w:pPr>
                      <w:pStyle w:val="Umschlagabsenderadresse"/>
                    </w:pPr>
                  </w:p>
                </w:txbxContent>
              </v:textbox>
              <w10:wrap anchorx="page" anchory="page"/>
              <w10:anchorlock/>
            </v:shape>
          </w:pict>
        </mc:Fallback>
      </mc:AlternateContent>
    </w:r>
    <w:r w:rsidR="002E4F9E">
      <w:rPr>
        <w:noProof/>
      </w:rPr>
      <w:drawing>
        <wp:anchor distT="0" distB="0" distL="114300" distR="114300" simplePos="0" relativeHeight="251658240" behindDoc="0" locked="1" layoutInCell="1" allowOverlap="1" wp14:anchorId="1DCE78B2" wp14:editId="7D13BAE9">
          <wp:simplePos x="0" y="0"/>
          <wp:positionH relativeFrom="page">
            <wp:posOffset>864235</wp:posOffset>
          </wp:positionH>
          <wp:positionV relativeFrom="page">
            <wp:posOffset>360045</wp:posOffset>
          </wp:positionV>
          <wp:extent cx="2316600" cy="478800"/>
          <wp:effectExtent l="0" t="0" r="7620" b="0"/>
          <wp:wrapNone/>
          <wp:docPr id="203" name="logo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166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5E9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4A1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30A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E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12F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687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0A0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CEA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2C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91666"/>
    <w:multiLevelType w:val="hybridMultilevel"/>
    <w:tmpl w:val="2574292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6B62285"/>
    <w:multiLevelType w:val="hybridMultilevel"/>
    <w:tmpl w:val="8D6A94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93B5883"/>
    <w:multiLevelType w:val="multilevel"/>
    <w:tmpl w:val="1F3EE2B8"/>
    <w:lvl w:ilvl="0">
      <w:start w:val="1"/>
      <w:numFmt w:val="upperLetter"/>
      <w:lvlText w:val="%1."/>
      <w:lvlJc w:val="left"/>
      <w:pPr>
        <w:ind w:left="360" w:hanging="360"/>
      </w:pPr>
      <w:rPr>
        <w:rFonts w:hint="default"/>
        <w:sz w:val="28"/>
      </w:rPr>
    </w:lvl>
    <w:lvl w:ilvl="1">
      <w:start w:val="1"/>
      <w:numFmt w:val="decimal"/>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0DD00449"/>
    <w:multiLevelType w:val="multilevel"/>
    <w:tmpl w:val="6FF2022E"/>
    <w:numStyleLink w:val="AufzhlungListe"/>
  </w:abstractNum>
  <w:abstractNum w:abstractNumId="14" w15:restartNumberingAfterBreak="0">
    <w:nsid w:val="0F9169F6"/>
    <w:multiLevelType w:val="multilevel"/>
    <w:tmpl w:val="43F0D17A"/>
    <w:lvl w:ilvl="0">
      <w:start w:val="1"/>
      <w:numFmt w:val="decimal"/>
      <w:lvlText w:val="%1."/>
      <w:lvlJc w:val="left"/>
      <w:pPr>
        <w:ind w:left="-354" w:firstLine="207"/>
      </w:pPr>
      <w:rPr>
        <w:rFonts w:hint="default"/>
        <w:b/>
      </w:rPr>
    </w:lvl>
    <w:lvl w:ilvl="1">
      <w:start w:val="1"/>
      <w:numFmt w:val="decimal"/>
      <w:lvlText w:val="%1.%2."/>
      <w:lvlJc w:val="left"/>
      <w:pPr>
        <w:ind w:left="78" w:hanging="225"/>
      </w:pPr>
      <w:rPr>
        <w:rFonts w:hint="default"/>
      </w:rPr>
    </w:lvl>
    <w:lvl w:ilvl="2">
      <w:start w:val="1"/>
      <w:numFmt w:val="decimal"/>
      <w:lvlText w:val="%1.%2.%3."/>
      <w:lvlJc w:val="left"/>
      <w:pPr>
        <w:ind w:left="510" w:hanging="504"/>
      </w:pPr>
      <w:rPr>
        <w:rFonts w:hint="default"/>
      </w:rPr>
    </w:lvl>
    <w:lvl w:ilvl="3">
      <w:start w:val="1"/>
      <w:numFmt w:val="decimal"/>
      <w:lvlText w:val="%1.%2.%3.%4."/>
      <w:lvlJc w:val="left"/>
      <w:pPr>
        <w:ind w:left="1014" w:hanging="648"/>
      </w:pPr>
      <w:rPr>
        <w:rFonts w:hint="default"/>
      </w:rPr>
    </w:lvl>
    <w:lvl w:ilvl="4">
      <w:start w:val="1"/>
      <w:numFmt w:val="decimal"/>
      <w:lvlText w:val="%1.%2.%3.%4.%5."/>
      <w:lvlJc w:val="left"/>
      <w:pPr>
        <w:ind w:left="1518" w:hanging="792"/>
      </w:pPr>
      <w:rPr>
        <w:rFonts w:hint="default"/>
      </w:rPr>
    </w:lvl>
    <w:lvl w:ilvl="5">
      <w:start w:val="1"/>
      <w:numFmt w:val="decimal"/>
      <w:lvlText w:val="%1.%2.%3.%4.%5.%6."/>
      <w:lvlJc w:val="left"/>
      <w:pPr>
        <w:ind w:left="2022" w:hanging="936"/>
      </w:pPr>
      <w:rPr>
        <w:rFonts w:hint="default"/>
      </w:rPr>
    </w:lvl>
    <w:lvl w:ilvl="6">
      <w:start w:val="1"/>
      <w:numFmt w:val="decimal"/>
      <w:lvlText w:val="%1.%2.%3.%4.%5.%6.%7."/>
      <w:lvlJc w:val="left"/>
      <w:pPr>
        <w:ind w:left="2526" w:hanging="1080"/>
      </w:pPr>
      <w:rPr>
        <w:rFonts w:hint="default"/>
      </w:rPr>
    </w:lvl>
    <w:lvl w:ilvl="7">
      <w:start w:val="1"/>
      <w:numFmt w:val="decimal"/>
      <w:lvlText w:val="%1.%2.%3.%4.%5.%6.%7.%8."/>
      <w:lvlJc w:val="left"/>
      <w:pPr>
        <w:ind w:left="3030" w:hanging="1224"/>
      </w:pPr>
      <w:rPr>
        <w:rFonts w:hint="default"/>
      </w:rPr>
    </w:lvl>
    <w:lvl w:ilvl="8">
      <w:start w:val="1"/>
      <w:numFmt w:val="decimal"/>
      <w:lvlText w:val="%1.%2.%3.%4.%5.%6.%7.%8.%9."/>
      <w:lvlJc w:val="left"/>
      <w:pPr>
        <w:ind w:left="3606" w:hanging="1440"/>
      </w:pPr>
      <w:rPr>
        <w:rFonts w:hint="default"/>
      </w:rPr>
    </w:lvl>
  </w:abstractNum>
  <w:abstractNum w:abstractNumId="15" w15:restartNumberingAfterBreak="0">
    <w:nsid w:val="114C3594"/>
    <w:multiLevelType w:val="multilevel"/>
    <w:tmpl w:val="1F24FE9C"/>
    <w:lvl w:ilvl="0">
      <w:start w:val="1"/>
      <w:numFmt w:val="bullet"/>
      <w:lvlText w:val="■"/>
      <w:lvlJc w:val="left"/>
      <w:pPr>
        <w:ind w:left="340" w:hanging="340"/>
      </w:pPr>
      <w:rPr>
        <w:rFonts w:ascii="Arial" w:hAnsi="Arial" w:hint="default"/>
        <w:sz w:val="20"/>
      </w:rPr>
    </w:lvl>
    <w:lvl w:ilvl="1">
      <w:start w:val="1"/>
      <w:numFmt w:val="bullet"/>
      <w:lvlRestart w:val="0"/>
      <w:lvlText w:val="−"/>
      <w:lvlJc w:val="left"/>
      <w:pPr>
        <w:ind w:left="680" w:hanging="340"/>
      </w:pPr>
      <w:rPr>
        <w:rFonts w:ascii="Arial" w:hAnsi="Arial" w:hint="default"/>
        <w:color w:val="auto"/>
      </w:rPr>
    </w:lvl>
    <w:lvl w:ilvl="2">
      <w:start w:val="1"/>
      <w:numFmt w:val="bullet"/>
      <w:lvlRestart w:val="0"/>
      <w:lvlText w:val="●"/>
      <w:lvlJc w:val="left"/>
      <w:pPr>
        <w:ind w:left="1021" w:hanging="341"/>
      </w:pPr>
      <w:rPr>
        <w:rFonts w:ascii="Arial" w:hAnsi="Arial" w:hint="default"/>
      </w:rPr>
    </w:lvl>
    <w:lvl w:ilvl="3">
      <w:start w:val="1"/>
      <w:numFmt w:val="bullet"/>
      <w:lvlRestart w:val="0"/>
      <w:lvlText w:val="○"/>
      <w:lvlJc w:val="left"/>
      <w:pPr>
        <w:ind w:left="1361" w:hanging="340"/>
      </w:pPr>
      <w:rPr>
        <w:rFonts w:ascii="Arial" w:hAnsi="Arial" w:hint="default"/>
        <w:color w:val="auto"/>
      </w:rPr>
    </w:lvl>
    <w:lvl w:ilvl="4">
      <w:start w:val="1"/>
      <w:numFmt w:val="bullet"/>
      <w:lvlRestart w:val="0"/>
      <w:lvlText w:val="♦"/>
      <w:lvlJc w:val="left"/>
      <w:pPr>
        <w:ind w:left="1701" w:hanging="340"/>
      </w:pPr>
      <w:rPr>
        <w:rFonts w:ascii="Arial" w:hAnsi="Arial" w:hint="default"/>
        <w:color w:val="auto"/>
      </w:rPr>
    </w:lvl>
    <w:lvl w:ilvl="5">
      <w:start w:val="1"/>
      <w:numFmt w:val="lowerRoman"/>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713731"/>
    <w:multiLevelType w:val="multilevel"/>
    <w:tmpl w:val="FEA6C59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A84AEC"/>
    <w:multiLevelType w:val="multilevel"/>
    <w:tmpl w:val="D4322824"/>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8" w15:restartNumberingAfterBreak="0">
    <w:nsid w:val="1B50095E"/>
    <w:multiLevelType w:val="multilevel"/>
    <w:tmpl w:val="8384CC36"/>
    <w:lvl w:ilvl="0">
      <w:start w:val="1"/>
      <w:numFmt w:val="none"/>
      <w:pStyle w:val="Listenfortsetzung"/>
      <w:lvlText w:val=""/>
      <w:lvlJc w:val="left"/>
      <w:pPr>
        <w:ind w:left="360" w:hanging="360"/>
      </w:pPr>
      <w:rPr>
        <w:rFonts w:hint="default"/>
      </w:rPr>
    </w:lvl>
    <w:lvl w:ilvl="1">
      <w:start w:val="1"/>
      <w:numFmt w:val="none"/>
      <w:lvlRestart w:val="0"/>
      <w:pStyle w:val="Listenfortsetzung2"/>
      <w:lvlText w:val=""/>
      <w:lvlJc w:val="left"/>
      <w:pPr>
        <w:ind w:left="720" w:hanging="360"/>
      </w:pPr>
      <w:rPr>
        <w:rFonts w:hint="default"/>
      </w:rPr>
    </w:lvl>
    <w:lvl w:ilvl="2">
      <w:start w:val="1"/>
      <w:numFmt w:val="none"/>
      <w:lvlRestart w:val="0"/>
      <w:pStyle w:val="Listenfortsetzung3"/>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pStyle w:val="Listenfortsetzung5"/>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BD45B5"/>
    <w:multiLevelType w:val="multilevel"/>
    <w:tmpl w:val="6FF2022E"/>
    <w:styleLink w:val="AufzhlungListe"/>
    <w:lvl w:ilvl="0">
      <w:start w:val="1"/>
      <w:numFmt w:val="bullet"/>
      <w:pStyle w:val="Aufzhlungszeichen"/>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Arial" w:hAnsi="Aria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20" w15:restartNumberingAfterBreak="0">
    <w:nsid w:val="23F640BD"/>
    <w:multiLevelType w:val="hybridMultilevel"/>
    <w:tmpl w:val="424CDC5A"/>
    <w:lvl w:ilvl="0" w:tplc="88AE0E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4AE2C7E"/>
    <w:multiLevelType w:val="multilevel"/>
    <w:tmpl w:val="6FF2022E"/>
    <w:numStyleLink w:val="AufzhlungListe"/>
  </w:abstractNum>
  <w:abstractNum w:abstractNumId="22" w15:restartNumberingAfterBreak="0">
    <w:nsid w:val="350423EC"/>
    <w:multiLevelType w:val="hybridMultilevel"/>
    <w:tmpl w:val="32F43956"/>
    <w:lvl w:ilvl="0" w:tplc="5DDC1FF4">
      <w:start w:val="1"/>
      <w:numFmt w:val="lowerLetter"/>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23" w15:restartNumberingAfterBreak="0">
    <w:nsid w:val="3CE439A5"/>
    <w:multiLevelType w:val="multilevel"/>
    <w:tmpl w:val="D4322824"/>
    <w:numStyleLink w:val="berschriftenListe"/>
  </w:abstractNum>
  <w:abstractNum w:abstractNumId="24" w15:restartNumberingAfterBreak="0">
    <w:nsid w:val="40E967AD"/>
    <w:multiLevelType w:val="multilevel"/>
    <w:tmpl w:val="70A01E1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EE25E8"/>
    <w:multiLevelType w:val="hybridMultilevel"/>
    <w:tmpl w:val="40045882"/>
    <w:lvl w:ilvl="0" w:tplc="9C1C89E8">
      <w:start w:val="3"/>
      <w:numFmt w:val="bullet"/>
      <w:lvlText w:val="-"/>
      <w:lvlJc w:val="left"/>
      <w:pPr>
        <w:ind w:left="720" w:hanging="360"/>
      </w:pPr>
      <w:rPr>
        <w:rFonts w:ascii="Arial" w:eastAsiaTheme="minorHAnsi" w:hAnsi="Arial" w:cs="Arial" w:hint="default"/>
      </w:rPr>
    </w:lvl>
    <w:lvl w:ilvl="1" w:tplc="98EAF3BA">
      <w:start w:val="5"/>
      <w:numFmt w:val="bullet"/>
      <w:lvlText w:val="-"/>
      <w:lvlJc w:val="left"/>
      <w:pPr>
        <w:ind w:left="1440" w:hanging="360"/>
      </w:pPr>
      <w:rPr>
        <w:rFonts w:ascii="Calibri" w:eastAsia="Calibri" w:hAnsi="Calibri"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530944DB"/>
    <w:multiLevelType w:val="hybridMultilevel"/>
    <w:tmpl w:val="CD863BB8"/>
    <w:lvl w:ilvl="0" w:tplc="BC2EB4E8">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537E4C1D"/>
    <w:multiLevelType w:val="hybridMultilevel"/>
    <w:tmpl w:val="DA707D8E"/>
    <w:lvl w:ilvl="0" w:tplc="1C88F79C">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5528352E"/>
    <w:multiLevelType w:val="multilevel"/>
    <w:tmpl w:val="E94821C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870777"/>
    <w:multiLevelType w:val="hybridMultilevel"/>
    <w:tmpl w:val="4260BB30"/>
    <w:lvl w:ilvl="0" w:tplc="A4B0959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D716D1"/>
    <w:multiLevelType w:val="hybridMultilevel"/>
    <w:tmpl w:val="F876819C"/>
    <w:lvl w:ilvl="0" w:tplc="9C1C89E8">
      <w:start w:val="3"/>
      <w:numFmt w:val="bullet"/>
      <w:lvlText w:val="-"/>
      <w:lvlJc w:val="left"/>
      <w:pPr>
        <w:ind w:left="720" w:hanging="360"/>
      </w:pPr>
      <w:rPr>
        <w:rFonts w:ascii="Arial" w:eastAsiaTheme="minorHAnsi" w:hAnsi="Arial" w:cs="Arial" w:hint="default"/>
      </w:rPr>
    </w:lvl>
    <w:lvl w:ilvl="1" w:tplc="98EAF3BA">
      <w:start w:val="5"/>
      <w:numFmt w:val="bullet"/>
      <w:lvlText w:val="-"/>
      <w:lvlJc w:val="left"/>
      <w:pPr>
        <w:ind w:left="1440" w:hanging="360"/>
      </w:pPr>
      <w:rPr>
        <w:rFonts w:ascii="Calibri" w:eastAsia="Calibri" w:hAnsi="Calibri" w:cs="Times New Roman" w:hint="default"/>
      </w:rPr>
    </w:lvl>
    <w:lvl w:ilvl="2" w:tplc="98EAF3BA">
      <w:start w:val="5"/>
      <w:numFmt w:val="bullet"/>
      <w:lvlText w:val="-"/>
      <w:lvlJc w:val="left"/>
      <w:pPr>
        <w:ind w:left="2160" w:hanging="360"/>
      </w:pPr>
      <w:rPr>
        <w:rFonts w:ascii="Calibri" w:eastAsia="Calibri" w:hAnsi="Calibri" w:cs="Times New Roman"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5FB310CF"/>
    <w:multiLevelType w:val="multilevel"/>
    <w:tmpl w:val="1C36973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1A3BE1"/>
    <w:multiLevelType w:val="multilevel"/>
    <w:tmpl w:val="6FF2022E"/>
    <w:numStyleLink w:val="AufzhlungListe"/>
  </w:abstractNum>
  <w:abstractNum w:abstractNumId="33" w15:restartNumberingAfterBreak="0">
    <w:nsid w:val="623B2DD6"/>
    <w:multiLevelType w:val="hybridMultilevel"/>
    <w:tmpl w:val="F30A5812"/>
    <w:lvl w:ilvl="0" w:tplc="FFFFFFFF">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125C93C2">
      <w:numFmt w:val="bullet"/>
      <w:lvlText w:val="-"/>
      <w:lvlJc w:val="left"/>
      <w:pPr>
        <w:ind w:left="1800" w:hanging="360"/>
      </w:pPr>
      <w:rPr>
        <w:rFonts w:ascii="Arial" w:eastAsiaTheme="minorHAnsi" w:hAnsi="Arial" w:cs="Arial"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628D1147"/>
    <w:multiLevelType w:val="hybridMultilevel"/>
    <w:tmpl w:val="A78AD6EA"/>
    <w:lvl w:ilvl="0" w:tplc="08070017">
      <w:start w:val="1"/>
      <w:numFmt w:val="lowerLetter"/>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41751A"/>
    <w:multiLevelType w:val="multilevel"/>
    <w:tmpl w:val="37B43D6E"/>
    <w:lvl w:ilvl="0">
      <w:start w:val="1"/>
      <w:numFmt w:val="upperLetter"/>
      <w:suff w:val="space"/>
      <w:lvlText w:val="%1"/>
      <w:lvlJc w:val="left"/>
      <w:pPr>
        <w:ind w:left="340" w:hanging="340"/>
      </w:pPr>
      <w:rPr>
        <w:rFonts w:hint="default"/>
      </w:rPr>
    </w:lvl>
    <w:lvl w:ilvl="1">
      <w:start w:val="1"/>
      <w:numFmt w:val="decimal"/>
      <w:suff w:val="space"/>
      <w:lvlText w:val="%2."/>
      <w:lvlJc w:val="left"/>
      <w:pPr>
        <w:ind w:left="340" w:hanging="340"/>
      </w:pPr>
      <w:rPr>
        <w:rFonts w:hint="default"/>
        <w:i w:val="0"/>
      </w:rPr>
    </w:lvl>
    <w:lvl w:ilvl="2">
      <w:start w:val="3"/>
      <w:numFmt w:val="decimal"/>
      <w:suff w:val="space"/>
      <w:lvlText w:val="%2.%3."/>
      <w:lvlJc w:val="left"/>
      <w:pPr>
        <w:ind w:left="737" w:hanging="737"/>
      </w:pPr>
      <w:rPr>
        <w:rFonts w:hint="default"/>
      </w:rPr>
    </w:lvl>
    <w:lvl w:ilvl="3">
      <w:start w:val="1"/>
      <w:numFmt w:val="decimal"/>
      <w:suff w:val="space"/>
      <w:lvlText w:val="%2.%3.%4."/>
      <w:lvlJc w:val="left"/>
      <w:pPr>
        <w:ind w:left="1134" w:hanging="1134"/>
      </w:pPr>
      <w:rPr>
        <w:rFonts w:hint="default"/>
      </w:rPr>
    </w:lvl>
    <w:lvl w:ilvl="4">
      <w:start w:val="1"/>
      <w:numFmt w:val="decimal"/>
      <w:suff w:val="space"/>
      <w:lvlText w:val="%2.%3.%4.%5."/>
      <w:lvlJc w:val="left"/>
      <w:pPr>
        <w:ind w:left="1418" w:hanging="1418"/>
      </w:pPr>
      <w:rPr>
        <w:rFonts w:hint="default"/>
      </w:rPr>
    </w:lvl>
    <w:lvl w:ilvl="5">
      <w:start w:val="1"/>
      <w:numFmt w:val="decimal"/>
      <w:suff w:val="space"/>
      <w:lvlText w:val="%2.%3.%4.%5.%6."/>
      <w:lvlJc w:val="left"/>
      <w:pPr>
        <w:ind w:left="1134" w:hanging="1134"/>
      </w:pPr>
      <w:rPr>
        <w:rFonts w:hint="default"/>
      </w:rPr>
    </w:lvl>
    <w:lvl w:ilvl="6">
      <w:start w:val="1"/>
      <w:numFmt w:val="decimal"/>
      <w:suff w:val="space"/>
      <w:lvlText w:val="%2.%3.%4.%5.%6.%7."/>
      <w:lvlJc w:val="left"/>
      <w:pPr>
        <w:ind w:left="3572" w:hanging="3572"/>
      </w:pPr>
      <w:rPr>
        <w:rFonts w:hint="default"/>
      </w:rPr>
    </w:lvl>
    <w:lvl w:ilvl="7">
      <w:start w:val="1"/>
      <w:numFmt w:val="decimal"/>
      <w:suff w:val="space"/>
      <w:lvlText w:val="%2.%3.%4.%5.%6.%7.%8."/>
      <w:lvlJc w:val="left"/>
      <w:pPr>
        <w:ind w:left="2325" w:hanging="2325"/>
      </w:pPr>
      <w:rPr>
        <w:rFonts w:hint="default"/>
      </w:rPr>
    </w:lvl>
    <w:lvl w:ilvl="8">
      <w:start w:val="1"/>
      <w:numFmt w:val="decimal"/>
      <w:suff w:val="space"/>
      <w:lvlText w:val="%2.%3.%4.%5.%6.%7.%8.%9."/>
      <w:lvlJc w:val="left"/>
      <w:pPr>
        <w:ind w:left="2722" w:hanging="2722"/>
      </w:pPr>
      <w:rPr>
        <w:rFonts w:hint="default"/>
      </w:rPr>
    </w:lvl>
  </w:abstractNum>
  <w:abstractNum w:abstractNumId="36" w15:restartNumberingAfterBreak="0">
    <w:nsid w:val="63B84F01"/>
    <w:multiLevelType w:val="hybridMultilevel"/>
    <w:tmpl w:val="4DAC4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F31526"/>
    <w:multiLevelType w:val="multilevel"/>
    <w:tmpl w:val="8E6E899A"/>
    <w:lvl w:ilvl="0">
      <w:start w:val="1"/>
      <w:numFmt w:val="decimal"/>
      <w:lvlText w:val="%1."/>
      <w:lvlJc w:val="left"/>
      <w:pPr>
        <w:ind w:left="360" w:hanging="360"/>
      </w:p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8" w15:restartNumberingAfterBreak="0">
    <w:nsid w:val="6C7512E4"/>
    <w:multiLevelType w:val="multilevel"/>
    <w:tmpl w:val="584A8040"/>
    <w:lvl w:ilvl="0">
      <w:start w:val="1"/>
      <w:numFmt w:val="decimal"/>
      <w:pStyle w:val="Zwischentitel"/>
      <w:lvlText w:val="(%1)"/>
      <w:lvlJc w:val="left"/>
      <w:pPr>
        <w:ind w:left="39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39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A74CFD"/>
    <w:multiLevelType w:val="multilevel"/>
    <w:tmpl w:val="E94A538A"/>
    <w:lvl w:ilvl="0">
      <w:start w:val="1"/>
      <w:numFmt w:val="ordinal"/>
      <w:pStyle w:val="Listennummer"/>
      <w:isLgl/>
      <w:lvlText w:val="%1"/>
      <w:lvlJc w:val="left"/>
      <w:pPr>
        <w:ind w:left="340" w:hanging="340"/>
      </w:pPr>
      <w:rPr>
        <w:color w:val="auto"/>
      </w:rPr>
    </w:lvl>
    <w:lvl w:ilvl="1">
      <w:start w:val="1"/>
      <w:numFmt w:val="lowerLetter"/>
      <w:pStyle w:val="Listennummer2"/>
      <w:lvlText w:val="%2)"/>
      <w:lvlJc w:val="left"/>
      <w:pPr>
        <w:ind w:left="680" w:hanging="340"/>
      </w:pPr>
    </w:lvl>
    <w:lvl w:ilvl="2">
      <w:start w:val="1"/>
      <w:numFmt w:val="upperRoman"/>
      <w:pStyle w:val="Listennummer3"/>
      <w:lvlText w:val="%3)"/>
      <w:lvlJc w:val="left"/>
      <w:pPr>
        <w:tabs>
          <w:tab w:val="num" w:pos="964"/>
        </w:tabs>
        <w:ind w:left="1021" w:hanging="341"/>
      </w:pPr>
    </w:lvl>
    <w:lvl w:ilvl="3">
      <w:start w:val="1"/>
      <w:numFmt w:val="lowerRoman"/>
      <w:pStyle w:val="Listennummer4"/>
      <w:lvlText w:val="(%4)"/>
      <w:lvlJc w:val="left"/>
      <w:pPr>
        <w:ind w:left="1361" w:hanging="340"/>
      </w:pPr>
    </w:lvl>
    <w:lvl w:ilvl="4">
      <w:start w:val="1"/>
      <w:numFmt w:val="upperRoman"/>
      <w:pStyle w:val="Listennummer5"/>
      <w:lvlText w:val="(%5)"/>
      <w:lvlJc w:val="left"/>
      <w:pPr>
        <w:ind w:left="1701" w:hanging="340"/>
      </w:pPr>
    </w:lvl>
    <w:lvl w:ilvl="5">
      <w:start w:val="1"/>
      <w:numFmt w:val="lowerRoman"/>
      <w:lvlText w:val="(%6)"/>
      <w:lvlJc w:val="lef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left"/>
      <w:pPr>
        <w:ind w:left="4086" w:hanging="454"/>
      </w:pPr>
    </w:lvl>
  </w:abstractNum>
  <w:abstractNum w:abstractNumId="40" w15:restartNumberingAfterBreak="0">
    <w:nsid w:val="7E2D5E90"/>
    <w:multiLevelType w:val="hybridMultilevel"/>
    <w:tmpl w:val="F6D873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E386D01"/>
    <w:multiLevelType w:val="multilevel"/>
    <w:tmpl w:val="6FF2022E"/>
    <w:numStyleLink w:val="AufzhlungListe"/>
  </w:abstractNum>
  <w:num w:numId="1" w16cid:durableId="1281302961">
    <w:abstractNumId w:val="9"/>
  </w:num>
  <w:num w:numId="2" w16cid:durableId="858856208">
    <w:abstractNumId w:val="19"/>
  </w:num>
  <w:num w:numId="3" w16cid:durableId="454954922">
    <w:abstractNumId w:val="21"/>
  </w:num>
  <w:num w:numId="4" w16cid:durableId="1437941627">
    <w:abstractNumId w:val="17"/>
  </w:num>
  <w:num w:numId="5" w16cid:durableId="1945989465">
    <w:abstractNumId w:val="41"/>
  </w:num>
  <w:num w:numId="6" w16cid:durableId="1596865220">
    <w:abstractNumId w:val="7"/>
  </w:num>
  <w:num w:numId="7" w16cid:durableId="1547645324">
    <w:abstractNumId w:val="6"/>
  </w:num>
  <w:num w:numId="8" w16cid:durableId="893807717">
    <w:abstractNumId w:val="5"/>
  </w:num>
  <w:num w:numId="9" w16cid:durableId="1967393899">
    <w:abstractNumId w:val="4"/>
  </w:num>
  <w:num w:numId="10" w16cid:durableId="1160658745">
    <w:abstractNumId w:val="8"/>
  </w:num>
  <w:num w:numId="11" w16cid:durableId="152530927">
    <w:abstractNumId w:val="3"/>
  </w:num>
  <w:num w:numId="12" w16cid:durableId="1552689582">
    <w:abstractNumId w:val="2"/>
  </w:num>
  <w:num w:numId="13" w16cid:durableId="1852063079">
    <w:abstractNumId w:val="1"/>
  </w:num>
  <w:num w:numId="14" w16cid:durableId="344285965">
    <w:abstractNumId w:val="0"/>
  </w:num>
  <w:num w:numId="15" w16cid:durableId="402024117">
    <w:abstractNumId w:val="23"/>
  </w:num>
  <w:num w:numId="16" w16cid:durableId="199513686">
    <w:abstractNumId w:val="13"/>
  </w:num>
  <w:num w:numId="17" w16cid:durableId="1780447950">
    <w:abstractNumId w:val="32"/>
  </w:num>
  <w:num w:numId="18" w16cid:durableId="91558751">
    <w:abstractNumId w:val="29"/>
  </w:num>
  <w:num w:numId="19" w16cid:durableId="1580016951">
    <w:abstractNumId w:val="15"/>
  </w:num>
  <w:num w:numId="20" w16cid:durableId="1891647779">
    <w:abstractNumId w:val="18"/>
  </w:num>
  <w:num w:numId="21" w16cid:durableId="326205130">
    <w:abstractNumId w:val="35"/>
  </w:num>
  <w:num w:numId="22" w16cid:durableId="1587835938">
    <w:abstractNumId w:val="12"/>
  </w:num>
  <w:num w:numId="23" w16cid:durableId="1731004654">
    <w:abstractNumId w:val="11"/>
  </w:num>
  <w:num w:numId="24" w16cid:durableId="20128344">
    <w:abstractNumId w:val="33"/>
  </w:num>
  <w:num w:numId="25" w16cid:durableId="834957635">
    <w:abstractNumId w:val="16"/>
  </w:num>
  <w:num w:numId="26" w16cid:durableId="1871871204">
    <w:abstractNumId w:val="24"/>
  </w:num>
  <w:num w:numId="27" w16cid:durableId="240723940">
    <w:abstractNumId w:val="31"/>
  </w:num>
  <w:num w:numId="28" w16cid:durableId="1544635914">
    <w:abstractNumId w:val="28"/>
  </w:num>
  <w:num w:numId="29" w16cid:durableId="830759608">
    <w:abstractNumId w:val="14"/>
  </w:num>
  <w:num w:numId="30" w16cid:durableId="777800817">
    <w:abstractNumId w:val="40"/>
  </w:num>
  <w:num w:numId="31" w16cid:durableId="1424913945">
    <w:abstractNumId w:val="36"/>
  </w:num>
  <w:num w:numId="32" w16cid:durableId="211774352">
    <w:abstractNumId w:val="34"/>
  </w:num>
  <w:num w:numId="33" w16cid:durableId="668017939">
    <w:abstractNumId w:val="10"/>
  </w:num>
  <w:num w:numId="34" w16cid:durableId="387152902">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8409243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8095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36772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62061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1592717">
    <w:abstractNumId w:val="26"/>
  </w:num>
  <w:num w:numId="40" w16cid:durableId="936324823">
    <w:abstractNumId w:val="27"/>
  </w:num>
  <w:num w:numId="41" w16cid:durableId="2026855794">
    <w:abstractNumId w:val="25"/>
  </w:num>
  <w:num w:numId="42" w16cid:durableId="1658651661">
    <w:abstractNumId w:val="30"/>
  </w:num>
  <w:num w:numId="43" w16cid:durableId="1486623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5381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99"/>
    <w:rsid w:val="00024C94"/>
    <w:rsid w:val="0004000A"/>
    <w:rsid w:val="0004572B"/>
    <w:rsid w:val="000470CF"/>
    <w:rsid w:val="0005480E"/>
    <w:rsid w:val="00056FDB"/>
    <w:rsid w:val="00067BA6"/>
    <w:rsid w:val="000D02CD"/>
    <w:rsid w:val="000D2DCC"/>
    <w:rsid w:val="000E49A5"/>
    <w:rsid w:val="000E59D7"/>
    <w:rsid w:val="000F2A52"/>
    <w:rsid w:val="00110CEA"/>
    <w:rsid w:val="001149B3"/>
    <w:rsid w:val="00122CCD"/>
    <w:rsid w:val="00123210"/>
    <w:rsid w:val="00137D99"/>
    <w:rsid w:val="001549D8"/>
    <w:rsid w:val="001559B2"/>
    <w:rsid w:val="0016247C"/>
    <w:rsid w:val="00162EE9"/>
    <w:rsid w:val="0017037E"/>
    <w:rsid w:val="00172033"/>
    <w:rsid w:val="00174A76"/>
    <w:rsid w:val="001B37BA"/>
    <w:rsid w:val="00203EE7"/>
    <w:rsid w:val="002172EE"/>
    <w:rsid w:val="002276A5"/>
    <w:rsid w:val="00236EF0"/>
    <w:rsid w:val="00237897"/>
    <w:rsid w:val="00263272"/>
    <w:rsid w:val="00280456"/>
    <w:rsid w:val="002B5885"/>
    <w:rsid w:val="002D6053"/>
    <w:rsid w:val="002D76A9"/>
    <w:rsid w:val="002E4F9E"/>
    <w:rsid w:val="002F29C6"/>
    <w:rsid w:val="002F54AF"/>
    <w:rsid w:val="002F57B9"/>
    <w:rsid w:val="0030354A"/>
    <w:rsid w:val="00316F80"/>
    <w:rsid w:val="0031743D"/>
    <w:rsid w:val="0032689C"/>
    <w:rsid w:val="00333AE6"/>
    <w:rsid w:val="003350AA"/>
    <w:rsid w:val="0033527A"/>
    <w:rsid w:val="003660E6"/>
    <w:rsid w:val="0037387C"/>
    <w:rsid w:val="003B393F"/>
    <w:rsid w:val="003E3D3C"/>
    <w:rsid w:val="003E5CD3"/>
    <w:rsid w:val="003F62CA"/>
    <w:rsid w:val="00400725"/>
    <w:rsid w:val="00407EAB"/>
    <w:rsid w:val="00424482"/>
    <w:rsid w:val="0042534E"/>
    <w:rsid w:val="004444CE"/>
    <w:rsid w:val="00461517"/>
    <w:rsid w:val="00484B96"/>
    <w:rsid w:val="0049032B"/>
    <w:rsid w:val="004B3BF9"/>
    <w:rsid w:val="004C2133"/>
    <w:rsid w:val="004D7CEA"/>
    <w:rsid w:val="004F5A09"/>
    <w:rsid w:val="004F5F41"/>
    <w:rsid w:val="00506203"/>
    <w:rsid w:val="00516C1E"/>
    <w:rsid w:val="005237E9"/>
    <w:rsid w:val="0053739B"/>
    <w:rsid w:val="00596CC8"/>
    <w:rsid w:val="005A49E4"/>
    <w:rsid w:val="005B776A"/>
    <w:rsid w:val="005C5E97"/>
    <w:rsid w:val="005D1408"/>
    <w:rsid w:val="005D3AB3"/>
    <w:rsid w:val="005D4497"/>
    <w:rsid w:val="006074CC"/>
    <w:rsid w:val="006127D1"/>
    <w:rsid w:val="00631FEE"/>
    <w:rsid w:val="00632891"/>
    <w:rsid w:val="00644A5E"/>
    <w:rsid w:val="00646F09"/>
    <w:rsid w:val="00663FF0"/>
    <w:rsid w:val="006A5D46"/>
    <w:rsid w:val="006B28BD"/>
    <w:rsid w:val="006C6410"/>
    <w:rsid w:val="006C76A7"/>
    <w:rsid w:val="006F1E13"/>
    <w:rsid w:val="00710645"/>
    <w:rsid w:val="00735B0D"/>
    <w:rsid w:val="007617CA"/>
    <w:rsid w:val="007619B7"/>
    <w:rsid w:val="007A0CB7"/>
    <w:rsid w:val="007A1FD1"/>
    <w:rsid w:val="007C3AE8"/>
    <w:rsid w:val="007F5613"/>
    <w:rsid w:val="0081178B"/>
    <w:rsid w:val="008210B6"/>
    <w:rsid w:val="00857CF7"/>
    <w:rsid w:val="00873508"/>
    <w:rsid w:val="00882C70"/>
    <w:rsid w:val="00895577"/>
    <w:rsid w:val="00897F28"/>
    <w:rsid w:val="008B5566"/>
    <w:rsid w:val="008C7D79"/>
    <w:rsid w:val="008D5E0F"/>
    <w:rsid w:val="008E392A"/>
    <w:rsid w:val="008E7B1C"/>
    <w:rsid w:val="008F05A7"/>
    <w:rsid w:val="00907599"/>
    <w:rsid w:val="00907B6C"/>
    <w:rsid w:val="00930803"/>
    <w:rsid w:val="00941D7E"/>
    <w:rsid w:val="009E4950"/>
    <w:rsid w:val="009E6B2E"/>
    <w:rsid w:val="009F2DB2"/>
    <w:rsid w:val="00A00ED4"/>
    <w:rsid w:val="00A12D4B"/>
    <w:rsid w:val="00A37292"/>
    <w:rsid w:val="00A3761F"/>
    <w:rsid w:val="00A50068"/>
    <w:rsid w:val="00A745BA"/>
    <w:rsid w:val="00A96BDE"/>
    <w:rsid w:val="00AA3617"/>
    <w:rsid w:val="00AA5D77"/>
    <w:rsid w:val="00AA5FF0"/>
    <w:rsid w:val="00AC12EA"/>
    <w:rsid w:val="00AC378F"/>
    <w:rsid w:val="00AE1048"/>
    <w:rsid w:val="00B27FD6"/>
    <w:rsid w:val="00B505BB"/>
    <w:rsid w:val="00B60641"/>
    <w:rsid w:val="00B71D23"/>
    <w:rsid w:val="00B742B1"/>
    <w:rsid w:val="00B86063"/>
    <w:rsid w:val="00B94CC2"/>
    <w:rsid w:val="00BA3652"/>
    <w:rsid w:val="00BB6A09"/>
    <w:rsid w:val="00BC429D"/>
    <w:rsid w:val="00BC5CC2"/>
    <w:rsid w:val="00BD01E7"/>
    <w:rsid w:val="00C07753"/>
    <w:rsid w:val="00C21D9F"/>
    <w:rsid w:val="00C238C3"/>
    <w:rsid w:val="00C26DC9"/>
    <w:rsid w:val="00C36F5B"/>
    <w:rsid w:val="00C37E02"/>
    <w:rsid w:val="00C70327"/>
    <w:rsid w:val="00C86C33"/>
    <w:rsid w:val="00C906A7"/>
    <w:rsid w:val="00CB0C3B"/>
    <w:rsid w:val="00CB3FDD"/>
    <w:rsid w:val="00CD204B"/>
    <w:rsid w:val="00CE0FCC"/>
    <w:rsid w:val="00CF42D7"/>
    <w:rsid w:val="00D22627"/>
    <w:rsid w:val="00D26F89"/>
    <w:rsid w:val="00D30BE7"/>
    <w:rsid w:val="00D46AA9"/>
    <w:rsid w:val="00D47219"/>
    <w:rsid w:val="00D71002"/>
    <w:rsid w:val="00D72024"/>
    <w:rsid w:val="00D86F6F"/>
    <w:rsid w:val="00DA1695"/>
    <w:rsid w:val="00DA6749"/>
    <w:rsid w:val="00DA79CA"/>
    <w:rsid w:val="00DC44BA"/>
    <w:rsid w:val="00DC618F"/>
    <w:rsid w:val="00DD4A00"/>
    <w:rsid w:val="00DD796A"/>
    <w:rsid w:val="00DF368C"/>
    <w:rsid w:val="00DF442F"/>
    <w:rsid w:val="00E049D0"/>
    <w:rsid w:val="00E066B2"/>
    <w:rsid w:val="00E10C87"/>
    <w:rsid w:val="00E15892"/>
    <w:rsid w:val="00E31CCA"/>
    <w:rsid w:val="00E37F4B"/>
    <w:rsid w:val="00E531F3"/>
    <w:rsid w:val="00E62ABE"/>
    <w:rsid w:val="00E7062C"/>
    <w:rsid w:val="00E820BB"/>
    <w:rsid w:val="00E93B6D"/>
    <w:rsid w:val="00EA3414"/>
    <w:rsid w:val="00EA3C66"/>
    <w:rsid w:val="00EB322A"/>
    <w:rsid w:val="00ED6134"/>
    <w:rsid w:val="00EE5658"/>
    <w:rsid w:val="00F20C5B"/>
    <w:rsid w:val="00F4562D"/>
    <w:rsid w:val="00F735D4"/>
    <w:rsid w:val="00F85AE3"/>
    <w:rsid w:val="00F866D7"/>
    <w:rsid w:val="00FA1B5D"/>
    <w:rsid w:val="00FB6E97"/>
    <w:rsid w:val="00FC4082"/>
    <w:rsid w:val="00FC54ED"/>
    <w:rsid w:val="00FD22B0"/>
    <w:rsid w:val="00FD6988"/>
    <w:rsid w:val="00FD71E1"/>
    <w:rsid w:val="00FE0A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5765B"/>
  <w15:chartTrackingRefBased/>
  <w15:docId w15:val="{08E20422-267E-4926-8A41-DE9D2E55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7"/>
        <w:szCs w:val="17"/>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80" w:unhideWhenUsed="1" w:qFormat="1"/>
    <w:lsdException w:name="heading 6" w:semiHidden="1" w:uiPriority="80" w:unhideWhenUsed="1" w:qFormat="1"/>
    <w:lsdException w:name="heading 7" w:semiHidden="1" w:uiPriority="80" w:unhideWhenUsed="1" w:qFormat="1"/>
    <w:lsdException w:name="heading 8" w:semiHidden="1" w:uiPriority="80" w:unhideWhenUsed="1" w:qFormat="1"/>
    <w:lsdException w:name="heading 9" w:semiHidden="1" w:uiPriority="8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30" w:unhideWhenUsed="1" w:qFormat="1"/>
    <w:lsdException w:name="footer" w:semiHidden="1" w:uiPriority="4" w:unhideWhenUsed="1" w:qFormat="1"/>
    <w:lsdException w:name="index heading" w:semiHidden="1" w:unhideWhenUsed="1"/>
    <w:lsdException w:name="caption" w:semiHidden="1" w:uiPriority="29" w:unhideWhenUsed="1" w:qFormat="1"/>
    <w:lsdException w:name="table of figures" w:semiHidden="1" w:uiPriority="97"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96" w:unhideWhenUsed="1"/>
    <w:lsdException w:name="endnote text" w:semiHidden="1" w:uiPriority="96"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25" w:qFormat="1"/>
    <w:lsdException w:name="Closing" w:semiHidden="1" w:uiPriority="28"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6" w:qFormat="1"/>
    <w:lsdException w:name="Salutation" w:semiHidden="1" w:uiPriority="28" w:unhideWhenUsed="1"/>
    <w:lsdException w:name="Date" w:semiHidden="1" w:uiPriority="27" w:unhideWhenUsed="1" w:qFormat="1"/>
    <w:lsdException w:name="Body Text First Indent" w:semiHidden="1" w:uiPriority="21" w:unhideWhenUsed="1" w:qFormat="1"/>
    <w:lsdException w:name="Body Text First Indent 2" w:semiHidden="1" w:uiPriority="24" w:unhideWhenUsed="1" w:qFormat="1"/>
    <w:lsdException w:name="Note Heading" w:semiHidden="1" w:uiPriority="96" w:unhideWhenUsed="1"/>
    <w:lsdException w:name="Body Text 2" w:semiHidden="1" w:uiPriority="17" w:unhideWhenUsed="1" w:qFormat="1"/>
    <w:lsdException w:name="Body Text 3" w:semiHidden="1" w:uiPriority="18" w:unhideWhenUsed="1" w:qFormat="1"/>
    <w:lsdException w:name="Body Text Indent 2" w:semiHidden="1" w:uiPriority="23" w:unhideWhenUsed="1" w:qFormat="1"/>
    <w:lsdException w:name="Body Text Indent 3" w:semiHidden="1" w:uiPriority="20" w:unhideWhenUsed="1" w:qFormat="1"/>
    <w:lsdException w:name="Block Text" w:semiHidden="1" w:uiPriority="11" w:unhideWhenUsed="1" w:qFormat="1"/>
    <w:lsdException w:name="Hyperlink" w:semiHidden="1" w:unhideWhenUsed="1" w:qFormat="1"/>
    <w:lsdException w:name="FollowedHyperlink" w:semiHidden="1" w:uiPriority="34" w:unhideWhenUsed="1"/>
    <w:lsdException w:name="Strong" w:uiPriority="22" w:qFormat="1"/>
    <w:lsdException w:name="Emphasis" w:uiPriority="3" w:qFormat="1"/>
    <w:lsdException w:name="Document Map" w:semiHidden="1" w:uiPriority="15" w:unhideWhenUsed="1" w:qFormat="1"/>
    <w:lsdException w:name="Plain Text" w:semiHidden="1" w:uiPriority="16" w:unhideWhenUsed="1" w:qFormat="1"/>
    <w:lsdException w:name="E-mail Signature" w:semiHidden="1" w:uiPriority="98" w:unhideWhenUsed="1"/>
    <w:lsdException w:name="HTML Top of Form" w:semiHidden="1" w:unhideWhenUsed="1"/>
    <w:lsdException w:name="HTML Bottom of Form" w:semiHidden="1" w:unhideWhenUsed="1"/>
    <w:lsdException w:name="Normal (Web)" w:semiHidden="1" w:unhideWhenUsed="1"/>
    <w:lsdException w:name="HTML Acronym" w:semiHidden="1" w:uiPriority="92" w:unhideWhenUsed="1"/>
    <w:lsdException w:name="HTML Address" w:semiHidden="1" w:uiPriority="92" w:unhideWhenUsed="1" w:qFormat="1"/>
    <w:lsdException w:name="HTML Cite" w:semiHidden="1" w:unhideWhenUsed="1"/>
    <w:lsdException w:name="HTML Code" w:semiHidden="1" w:uiPriority="92"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2"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4" w:qFormat="1"/>
    <w:lsdException w:name="Intense Quote" w:uiPriority="1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4" w:qFormat="1"/>
    <w:lsdException w:name="Subtle Reference" w:uiPriority="4" w:qFormat="1"/>
    <w:lsdException w:name="Intense Reference" w:uiPriority="6" w:qFormat="1"/>
    <w:lsdException w:name="Book Title" w:uiPriority="10"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02"/>
    <w:rPr>
      <w:sz w:val="22"/>
    </w:rPr>
  </w:style>
  <w:style w:type="paragraph" w:styleId="berschrift1">
    <w:name w:val="heading 1"/>
    <w:basedOn w:val="Standard"/>
    <w:next w:val="Standard"/>
    <w:link w:val="berschrift1Zchn"/>
    <w:uiPriority w:val="1"/>
    <w:qFormat/>
    <w:rsid w:val="00123210"/>
    <w:pPr>
      <w:keepNext/>
      <w:keepLines/>
      <w:spacing w:after="200" w:line="380" w:lineRule="exact"/>
      <w:outlineLvl w:val="0"/>
    </w:pPr>
    <w:rPr>
      <w:rFonts w:eastAsiaTheme="majorEastAsia" w:cstheme="majorBidi"/>
      <w:b/>
      <w:sz w:val="34"/>
      <w:szCs w:val="32"/>
    </w:rPr>
  </w:style>
  <w:style w:type="paragraph" w:styleId="berschrift2">
    <w:name w:val="heading 2"/>
    <w:basedOn w:val="Standard"/>
    <w:next w:val="Standard"/>
    <w:link w:val="berschrift2Zchn"/>
    <w:uiPriority w:val="1"/>
    <w:unhideWhenUsed/>
    <w:qFormat/>
    <w:rsid w:val="00123210"/>
    <w:pPr>
      <w:keepNext/>
      <w:keepLines/>
      <w:spacing w:after="220" w:line="300" w:lineRule="exact"/>
      <w:outlineLvl w:val="1"/>
    </w:pPr>
    <w:rPr>
      <w:rFonts w:eastAsiaTheme="majorEastAsia" w:cstheme="majorBidi"/>
      <w:b/>
      <w:sz w:val="26"/>
      <w:szCs w:val="26"/>
    </w:rPr>
  </w:style>
  <w:style w:type="paragraph" w:styleId="berschrift3">
    <w:name w:val="heading 3"/>
    <w:basedOn w:val="Standard"/>
    <w:next w:val="Standard"/>
    <w:link w:val="berschrift3Zchn"/>
    <w:uiPriority w:val="1"/>
    <w:unhideWhenUsed/>
    <w:qFormat/>
    <w:rsid w:val="00D71002"/>
    <w:pPr>
      <w:keepNext/>
      <w:keepLines/>
      <w:outlineLvl w:val="2"/>
    </w:pPr>
    <w:rPr>
      <w:rFonts w:eastAsiaTheme="majorEastAsia" w:cstheme="majorBidi"/>
      <w:b/>
      <w:szCs w:val="24"/>
    </w:rPr>
  </w:style>
  <w:style w:type="paragraph" w:styleId="berschrift4">
    <w:name w:val="heading 4"/>
    <w:basedOn w:val="Standard"/>
    <w:next w:val="Standard"/>
    <w:link w:val="berschrift4Zchn"/>
    <w:uiPriority w:val="1"/>
    <w:unhideWhenUsed/>
    <w:qFormat/>
    <w:rsid w:val="00D71002"/>
    <w:pPr>
      <w:keepNext/>
      <w:keepLines/>
      <w:spacing w:before="40"/>
      <w:outlineLvl w:val="3"/>
    </w:pPr>
    <w:rPr>
      <w:rFonts w:asciiTheme="majorHAnsi" w:eastAsiaTheme="majorEastAsia" w:hAnsiTheme="majorHAnsi" w:cstheme="majorBidi"/>
      <w:i/>
      <w:iCs/>
      <w:color w:val="87002C" w:themeColor="accent1" w:themeShade="BF"/>
    </w:rPr>
  </w:style>
  <w:style w:type="paragraph" w:styleId="berschrift5">
    <w:name w:val="heading 5"/>
    <w:basedOn w:val="Standard"/>
    <w:next w:val="Standard"/>
    <w:link w:val="berschrift5Zchn"/>
    <w:uiPriority w:val="80"/>
    <w:unhideWhenUsed/>
    <w:qFormat/>
    <w:rsid w:val="00D71002"/>
    <w:pPr>
      <w:keepNext/>
      <w:keepLines/>
      <w:spacing w:before="40"/>
      <w:outlineLvl w:val="4"/>
    </w:pPr>
    <w:rPr>
      <w:rFonts w:asciiTheme="majorHAnsi" w:eastAsiaTheme="majorEastAsia" w:hAnsiTheme="majorHAnsi" w:cstheme="majorBidi"/>
      <w:color w:val="87002C" w:themeColor="accent1" w:themeShade="BF"/>
    </w:rPr>
  </w:style>
  <w:style w:type="paragraph" w:styleId="berschrift6">
    <w:name w:val="heading 6"/>
    <w:basedOn w:val="Standard"/>
    <w:next w:val="Standard"/>
    <w:link w:val="berschrift6Zchn"/>
    <w:uiPriority w:val="80"/>
    <w:unhideWhenUsed/>
    <w:qFormat/>
    <w:rsid w:val="00D71002"/>
    <w:pPr>
      <w:keepNext/>
      <w:keepLines/>
      <w:spacing w:before="40"/>
      <w:outlineLvl w:val="5"/>
    </w:pPr>
    <w:rPr>
      <w:rFonts w:asciiTheme="majorHAnsi" w:eastAsiaTheme="majorEastAsia" w:hAnsiTheme="majorHAnsi" w:cstheme="majorBidi"/>
      <w:color w:val="5A001D" w:themeColor="accent1" w:themeShade="7F"/>
    </w:rPr>
  </w:style>
  <w:style w:type="paragraph" w:styleId="berschrift7">
    <w:name w:val="heading 7"/>
    <w:basedOn w:val="Standard"/>
    <w:next w:val="Standard"/>
    <w:link w:val="berschrift7Zchn"/>
    <w:uiPriority w:val="80"/>
    <w:unhideWhenUsed/>
    <w:qFormat/>
    <w:rsid w:val="00D71002"/>
    <w:pPr>
      <w:keepNext/>
      <w:keepLines/>
      <w:spacing w:before="40"/>
      <w:outlineLvl w:val="6"/>
    </w:pPr>
    <w:rPr>
      <w:rFonts w:asciiTheme="majorHAnsi" w:eastAsiaTheme="majorEastAsia" w:hAnsiTheme="majorHAnsi" w:cstheme="majorBidi"/>
      <w:i/>
      <w:iCs/>
      <w:color w:val="5A001D" w:themeColor="accent1" w:themeShade="7F"/>
    </w:rPr>
  </w:style>
  <w:style w:type="paragraph" w:styleId="berschrift8">
    <w:name w:val="heading 8"/>
    <w:basedOn w:val="Standard"/>
    <w:next w:val="Standard"/>
    <w:link w:val="berschrift8Zchn"/>
    <w:uiPriority w:val="80"/>
    <w:unhideWhenUsed/>
    <w:qFormat/>
    <w:rsid w:val="00D710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80"/>
    <w:unhideWhenUsed/>
    <w:qFormat/>
    <w:rsid w:val="00D710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30"/>
    <w:unhideWhenUsed/>
    <w:qFormat/>
    <w:rsid w:val="0037387C"/>
    <w:pPr>
      <w:tabs>
        <w:tab w:val="right" w:pos="9356"/>
      </w:tabs>
      <w:spacing w:line="220" w:lineRule="exact"/>
    </w:pPr>
    <w:rPr>
      <w:sz w:val="17"/>
    </w:rPr>
  </w:style>
  <w:style w:type="character" w:customStyle="1" w:styleId="KopfzeileZchn">
    <w:name w:val="Kopfzeile Zchn"/>
    <w:basedOn w:val="Absatz-Standardschriftart"/>
    <w:link w:val="Kopfzeile"/>
    <w:uiPriority w:val="30"/>
    <w:rsid w:val="0037387C"/>
  </w:style>
  <w:style w:type="paragraph" w:styleId="Fuzeile">
    <w:name w:val="footer"/>
    <w:basedOn w:val="Standard"/>
    <w:link w:val="FuzeileZchn"/>
    <w:uiPriority w:val="4"/>
    <w:unhideWhenUsed/>
    <w:qFormat/>
    <w:rsid w:val="008E7B1C"/>
    <w:pPr>
      <w:tabs>
        <w:tab w:val="center" w:pos="4536"/>
        <w:tab w:val="right" w:pos="9072"/>
      </w:tabs>
      <w:spacing w:line="220" w:lineRule="exact"/>
    </w:pPr>
    <w:rPr>
      <w:sz w:val="17"/>
    </w:rPr>
  </w:style>
  <w:style w:type="character" w:customStyle="1" w:styleId="FuzeileZchn">
    <w:name w:val="Fußzeile Zchn"/>
    <w:basedOn w:val="Absatz-Standardschriftart"/>
    <w:link w:val="Fuzeile"/>
    <w:uiPriority w:val="4"/>
    <w:rsid w:val="008E7B1C"/>
  </w:style>
  <w:style w:type="paragraph" w:styleId="Aufzhlungszeichen">
    <w:name w:val="List Bullet"/>
    <w:basedOn w:val="Standard"/>
    <w:uiPriority w:val="3"/>
    <w:unhideWhenUsed/>
    <w:qFormat/>
    <w:rsid w:val="00CF42D7"/>
    <w:pPr>
      <w:numPr>
        <w:numId w:val="16"/>
      </w:numPr>
    </w:pPr>
  </w:style>
  <w:style w:type="numbering" w:customStyle="1" w:styleId="AufzhlungListe">
    <w:name w:val="Aufzählung Liste"/>
    <w:uiPriority w:val="99"/>
    <w:rsid w:val="00CF42D7"/>
    <w:pPr>
      <w:numPr>
        <w:numId w:val="2"/>
      </w:numPr>
    </w:pPr>
  </w:style>
  <w:style w:type="numbering" w:customStyle="1" w:styleId="berschriftenListe">
    <w:name w:val="Überschriften Liste"/>
    <w:uiPriority w:val="99"/>
    <w:rsid w:val="00D71002"/>
    <w:pPr>
      <w:numPr>
        <w:numId w:val="4"/>
      </w:numPr>
    </w:pPr>
  </w:style>
  <w:style w:type="character" w:customStyle="1" w:styleId="berschrift1Zchn">
    <w:name w:val="Überschrift 1 Zchn"/>
    <w:basedOn w:val="Absatz-Standardschriftart"/>
    <w:link w:val="berschrift1"/>
    <w:uiPriority w:val="1"/>
    <w:rsid w:val="00123210"/>
    <w:rPr>
      <w:rFonts w:eastAsiaTheme="majorEastAsia" w:cstheme="majorBidi"/>
      <w:b/>
      <w:sz w:val="34"/>
      <w:szCs w:val="32"/>
    </w:rPr>
  </w:style>
  <w:style w:type="character" w:customStyle="1" w:styleId="berschrift2Zchn">
    <w:name w:val="Überschrift 2 Zchn"/>
    <w:basedOn w:val="Absatz-Standardschriftart"/>
    <w:link w:val="berschrift2"/>
    <w:uiPriority w:val="1"/>
    <w:rsid w:val="00123210"/>
    <w:rPr>
      <w:rFonts w:eastAsiaTheme="majorEastAsia" w:cstheme="majorBidi"/>
      <w:b/>
      <w:sz w:val="26"/>
      <w:szCs w:val="26"/>
    </w:rPr>
  </w:style>
  <w:style w:type="character" w:customStyle="1" w:styleId="berschrift3Zchn">
    <w:name w:val="Überschrift 3 Zchn"/>
    <w:basedOn w:val="Absatz-Standardschriftart"/>
    <w:link w:val="berschrift3"/>
    <w:uiPriority w:val="1"/>
    <w:rsid w:val="00D71002"/>
    <w:rPr>
      <w:rFonts w:eastAsiaTheme="majorEastAsia" w:cstheme="majorBidi"/>
      <w:b/>
      <w:sz w:val="22"/>
      <w:szCs w:val="24"/>
    </w:rPr>
  </w:style>
  <w:style w:type="character" w:customStyle="1" w:styleId="berschrift4Zchn">
    <w:name w:val="Überschrift 4 Zchn"/>
    <w:basedOn w:val="Absatz-Standardschriftart"/>
    <w:link w:val="berschrift4"/>
    <w:uiPriority w:val="1"/>
    <w:rsid w:val="00024C94"/>
    <w:rPr>
      <w:rFonts w:asciiTheme="majorHAnsi" w:eastAsiaTheme="majorEastAsia" w:hAnsiTheme="majorHAnsi" w:cstheme="majorBidi"/>
      <w:i/>
      <w:iCs/>
      <w:color w:val="87002C" w:themeColor="accent1" w:themeShade="BF"/>
    </w:rPr>
  </w:style>
  <w:style w:type="character" w:customStyle="1" w:styleId="berschrift5Zchn">
    <w:name w:val="Überschrift 5 Zchn"/>
    <w:basedOn w:val="Absatz-Standardschriftart"/>
    <w:link w:val="berschrift5"/>
    <w:uiPriority w:val="80"/>
    <w:semiHidden/>
    <w:rsid w:val="00024C94"/>
    <w:rPr>
      <w:rFonts w:asciiTheme="majorHAnsi" w:eastAsiaTheme="majorEastAsia" w:hAnsiTheme="majorHAnsi" w:cstheme="majorBidi"/>
      <w:color w:val="87002C" w:themeColor="accent1" w:themeShade="BF"/>
    </w:rPr>
  </w:style>
  <w:style w:type="character" w:customStyle="1" w:styleId="berschrift6Zchn">
    <w:name w:val="Überschrift 6 Zchn"/>
    <w:basedOn w:val="Absatz-Standardschriftart"/>
    <w:link w:val="berschrift6"/>
    <w:uiPriority w:val="80"/>
    <w:semiHidden/>
    <w:rsid w:val="00024C94"/>
    <w:rPr>
      <w:rFonts w:asciiTheme="majorHAnsi" w:eastAsiaTheme="majorEastAsia" w:hAnsiTheme="majorHAnsi" w:cstheme="majorBidi"/>
      <w:color w:val="5A001D" w:themeColor="accent1" w:themeShade="7F"/>
    </w:rPr>
  </w:style>
  <w:style w:type="character" w:customStyle="1" w:styleId="berschrift7Zchn">
    <w:name w:val="Überschrift 7 Zchn"/>
    <w:basedOn w:val="Absatz-Standardschriftart"/>
    <w:link w:val="berschrift7"/>
    <w:uiPriority w:val="80"/>
    <w:semiHidden/>
    <w:rsid w:val="00024C94"/>
    <w:rPr>
      <w:rFonts w:asciiTheme="majorHAnsi" w:eastAsiaTheme="majorEastAsia" w:hAnsiTheme="majorHAnsi" w:cstheme="majorBidi"/>
      <w:i/>
      <w:iCs/>
      <w:color w:val="5A001D" w:themeColor="accent1" w:themeShade="7F"/>
    </w:rPr>
  </w:style>
  <w:style w:type="character" w:customStyle="1" w:styleId="berschrift8Zchn">
    <w:name w:val="Überschrift 8 Zchn"/>
    <w:basedOn w:val="Absatz-Standardschriftart"/>
    <w:link w:val="berschrift8"/>
    <w:uiPriority w:val="80"/>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80"/>
    <w:semiHidden/>
    <w:rsid w:val="00024C94"/>
    <w:rPr>
      <w:rFonts w:asciiTheme="majorHAnsi" w:eastAsiaTheme="majorEastAsia" w:hAnsiTheme="majorHAnsi" w:cstheme="majorBidi"/>
      <w:i/>
      <w:iCs/>
      <w:color w:val="272727" w:themeColor="text1" w:themeTint="D8"/>
      <w:sz w:val="21"/>
      <w:szCs w:val="21"/>
    </w:rPr>
  </w:style>
  <w:style w:type="paragraph" w:styleId="Umschlagadresse">
    <w:name w:val="envelope address"/>
    <w:basedOn w:val="Standard"/>
    <w:uiPriority w:val="99"/>
    <w:unhideWhenUsed/>
    <w:rsid w:val="0037387C"/>
    <w:rPr>
      <w:rFonts w:asciiTheme="majorHAnsi" w:eastAsiaTheme="majorEastAsia" w:hAnsiTheme="majorHAnsi" w:cstheme="majorBidi"/>
      <w:szCs w:val="24"/>
    </w:rPr>
  </w:style>
  <w:style w:type="paragraph" w:styleId="Umschlagabsenderadresse">
    <w:name w:val="envelope return"/>
    <w:basedOn w:val="Standard"/>
    <w:uiPriority w:val="99"/>
    <w:unhideWhenUsed/>
    <w:rsid w:val="0037387C"/>
    <w:pPr>
      <w:spacing w:line="220" w:lineRule="exact"/>
    </w:pPr>
    <w:rPr>
      <w:rFonts w:asciiTheme="majorHAnsi" w:eastAsiaTheme="majorEastAsia" w:hAnsiTheme="majorHAnsi" w:cstheme="majorBidi"/>
      <w:sz w:val="17"/>
      <w:szCs w:val="20"/>
    </w:rPr>
  </w:style>
  <w:style w:type="paragraph" w:styleId="Titel">
    <w:name w:val="Title"/>
    <w:basedOn w:val="Standard"/>
    <w:next w:val="Standard"/>
    <w:link w:val="TitelZchn"/>
    <w:uiPriority w:val="25"/>
    <w:qFormat/>
    <w:rsid w:val="0037387C"/>
    <w:pPr>
      <w:contextualSpacing/>
    </w:pPr>
    <w:rPr>
      <w:rFonts w:eastAsiaTheme="majorEastAsia" w:cstheme="majorBidi"/>
      <w:b/>
      <w:kern w:val="28"/>
      <w:szCs w:val="56"/>
    </w:rPr>
  </w:style>
  <w:style w:type="character" w:customStyle="1" w:styleId="TitelZchn">
    <w:name w:val="Titel Zchn"/>
    <w:basedOn w:val="Absatz-Standardschriftart"/>
    <w:link w:val="Titel"/>
    <w:uiPriority w:val="25"/>
    <w:rsid w:val="0037387C"/>
    <w:rPr>
      <w:rFonts w:eastAsiaTheme="majorEastAsia" w:cstheme="majorBidi"/>
      <w:b/>
      <w:kern w:val="28"/>
      <w:szCs w:val="56"/>
    </w:rPr>
  </w:style>
  <w:style w:type="character" w:styleId="Seitenzahl">
    <w:name w:val="page number"/>
    <w:basedOn w:val="Absatz-Standardschriftart"/>
    <w:uiPriority w:val="99"/>
    <w:unhideWhenUsed/>
    <w:rsid w:val="0037387C"/>
  </w:style>
  <w:style w:type="paragraph" w:styleId="Beschriftung">
    <w:name w:val="caption"/>
    <w:basedOn w:val="Standard"/>
    <w:next w:val="Standard"/>
    <w:uiPriority w:val="29"/>
    <w:unhideWhenUsed/>
    <w:qFormat/>
    <w:rsid w:val="00123210"/>
    <w:pPr>
      <w:spacing w:before="120" w:after="120" w:line="190" w:lineRule="exact"/>
      <w:ind w:left="159"/>
    </w:pPr>
    <w:rPr>
      <w:iCs/>
      <w:sz w:val="17"/>
      <w:szCs w:val="18"/>
    </w:rPr>
  </w:style>
  <w:style w:type="table" w:customStyle="1" w:styleId="PITabelle">
    <w:name w:val="PI Tabelle"/>
    <w:basedOn w:val="NormaleTabelle"/>
    <w:uiPriority w:val="99"/>
    <w:rsid w:val="00123210"/>
    <w:pPr>
      <w:spacing w:line="240" w:lineRule="auto"/>
    </w:pPr>
    <w:tblPr>
      <w:tblBorders>
        <w:bottom w:val="single" w:sz="4" w:space="0" w:color="auto"/>
        <w:insideH w:val="single" w:sz="2" w:space="0" w:color="auto"/>
      </w:tblBorders>
      <w:tblCellMar>
        <w:top w:w="102" w:type="dxa"/>
        <w:left w:w="159" w:type="dxa"/>
        <w:bottom w:w="102" w:type="dxa"/>
        <w:right w:w="159" w:type="dxa"/>
      </w:tblCellMar>
    </w:tblPr>
    <w:tblStylePr w:type="firstRow">
      <w:tblPr/>
      <w:tcPr>
        <w:tcBorders>
          <w:top w:val="nil"/>
          <w:left w:val="nil"/>
          <w:bottom w:val="single" w:sz="4" w:space="0" w:color="auto"/>
          <w:right w:val="nil"/>
          <w:insideH w:val="nil"/>
          <w:insideV w:val="nil"/>
          <w:tl2br w:val="nil"/>
          <w:tr2bl w:val="nil"/>
        </w:tcBorders>
      </w:tcPr>
    </w:tblStylePr>
  </w:style>
  <w:style w:type="paragraph" w:customStyle="1" w:styleId="SGARecipient">
    <w:name w:val="SGARecipient"/>
    <w:basedOn w:val="Standard"/>
    <w:rsid w:val="00DD796A"/>
    <w:pPr>
      <w:tabs>
        <w:tab w:val="left" w:pos="4763"/>
      </w:tabs>
      <w:spacing w:line="260" w:lineRule="atLeast"/>
    </w:pPr>
    <w:rPr>
      <w:rFonts w:eastAsia="Times New Roman" w:cs="Times New Roman"/>
      <w:szCs w:val="22"/>
      <w:lang w:val="en-US"/>
    </w:rPr>
  </w:style>
  <w:style w:type="character" w:styleId="Fett">
    <w:name w:val="Strong"/>
    <w:basedOn w:val="Absatz-Standardschriftart"/>
    <w:uiPriority w:val="22"/>
    <w:qFormat/>
    <w:rsid w:val="00DD796A"/>
    <w:rPr>
      <w:b/>
      <w:bCs/>
    </w:rPr>
  </w:style>
  <w:style w:type="paragraph" w:styleId="Listenabsatz">
    <w:name w:val="List Paragraph"/>
    <w:basedOn w:val="Standard"/>
    <w:link w:val="ListenabsatzZchn"/>
    <w:uiPriority w:val="99"/>
    <w:qFormat/>
    <w:rsid w:val="00DD796A"/>
    <w:pPr>
      <w:spacing w:line="240" w:lineRule="auto"/>
      <w:ind w:left="720"/>
      <w:contextualSpacing/>
    </w:pPr>
    <w:rPr>
      <w:rFonts w:eastAsia="Times New Roman" w:cs="Times New Roman"/>
      <w:szCs w:val="20"/>
      <w:lang w:eastAsia="de-DE"/>
    </w:rPr>
  </w:style>
  <w:style w:type="paragraph" w:customStyle="1" w:styleId="Default">
    <w:name w:val="Default"/>
    <w:rsid w:val="00316F80"/>
    <w:pPr>
      <w:autoSpaceDE w:val="0"/>
      <w:autoSpaceDN w:val="0"/>
      <w:adjustRightInd w:val="0"/>
      <w:spacing w:line="240" w:lineRule="auto"/>
    </w:pPr>
    <w:rPr>
      <w:rFonts w:cs="Arial"/>
      <w:color w:val="000000"/>
      <w:sz w:val="24"/>
      <w:szCs w:val="24"/>
    </w:rPr>
  </w:style>
  <w:style w:type="paragraph" w:styleId="Aufzhlungszeichen2">
    <w:name w:val="List Bullet 2"/>
    <w:basedOn w:val="Standard"/>
    <w:uiPriority w:val="3"/>
    <w:rsid w:val="00162EE9"/>
    <w:pPr>
      <w:spacing w:after="120" w:line="240" w:lineRule="auto"/>
      <w:ind w:left="680" w:hanging="340"/>
    </w:pPr>
    <w:rPr>
      <w:rFonts w:cs="Arial"/>
      <w:sz w:val="24"/>
      <w:szCs w:val="22"/>
    </w:rPr>
  </w:style>
  <w:style w:type="paragraph" w:styleId="Aufzhlungszeichen3">
    <w:name w:val="List Bullet 3"/>
    <w:basedOn w:val="Standard"/>
    <w:uiPriority w:val="3"/>
    <w:rsid w:val="00162EE9"/>
    <w:pPr>
      <w:spacing w:after="120" w:line="240" w:lineRule="auto"/>
      <w:ind w:left="1021" w:hanging="341"/>
    </w:pPr>
    <w:rPr>
      <w:rFonts w:cs="Arial"/>
      <w:sz w:val="24"/>
      <w:szCs w:val="22"/>
    </w:rPr>
  </w:style>
  <w:style w:type="paragraph" w:styleId="Aufzhlungszeichen4">
    <w:name w:val="List Bullet 4"/>
    <w:basedOn w:val="Standard"/>
    <w:uiPriority w:val="3"/>
    <w:rsid w:val="00162EE9"/>
    <w:pPr>
      <w:spacing w:after="120" w:line="240" w:lineRule="auto"/>
      <w:ind w:left="1361" w:hanging="340"/>
    </w:pPr>
    <w:rPr>
      <w:rFonts w:cs="Arial"/>
      <w:sz w:val="24"/>
      <w:szCs w:val="22"/>
    </w:rPr>
  </w:style>
  <w:style w:type="paragraph" w:styleId="Aufzhlungszeichen5">
    <w:name w:val="List Bullet 5"/>
    <w:basedOn w:val="Standard"/>
    <w:uiPriority w:val="3"/>
    <w:rsid w:val="00162EE9"/>
    <w:pPr>
      <w:spacing w:after="120" w:line="240" w:lineRule="auto"/>
      <w:ind w:left="1701" w:hanging="340"/>
    </w:pPr>
    <w:rPr>
      <w:rFonts w:cs="Arial"/>
      <w:sz w:val="24"/>
      <w:szCs w:val="22"/>
    </w:rPr>
  </w:style>
  <w:style w:type="character" w:styleId="Hyperlink">
    <w:name w:val="Hyperlink"/>
    <w:basedOn w:val="Absatz-Standardschriftart"/>
    <w:uiPriority w:val="99"/>
    <w:qFormat/>
    <w:rsid w:val="00162EE9"/>
    <w:rPr>
      <w:color w:val="B0050D"/>
      <w:u w:val="single"/>
    </w:rPr>
  </w:style>
  <w:style w:type="character" w:styleId="Hervorhebung">
    <w:name w:val="Emphasis"/>
    <w:aliases w:val="Kursiv"/>
    <w:basedOn w:val="Absatz-Standardschriftart"/>
    <w:uiPriority w:val="3"/>
    <w:qFormat/>
    <w:rsid w:val="00162EE9"/>
    <w:rPr>
      <w:i/>
      <w:iCs/>
    </w:rPr>
  </w:style>
  <w:style w:type="paragraph" w:styleId="Funotentext">
    <w:name w:val="footnote text"/>
    <w:aliases w:val="5_G,Footnote Text Char Char Char Char Char,Footnote Text Char Char Char Char,Footnote reference,FA Fu,Footnote Text Char Char Char,Footnote Text Char Char Char Char Char Char Char Char,Fußnotentext RAXEN,footnotes,Char,fn,FN"/>
    <w:basedOn w:val="Standard"/>
    <w:link w:val="FunotentextZchn"/>
    <w:unhideWhenUsed/>
    <w:qFormat/>
    <w:rsid w:val="00162EE9"/>
    <w:pPr>
      <w:spacing w:line="240" w:lineRule="auto"/>
    </w:pPr>
    <w:rPr>
      <w:rFonts w:cs="Arial"/>
      <w:sz w:val="20"/>
      <w:szCs w:val="20"/>
    </w:rPr>
  </w:style>
  <w:style w:type="character" w:customStyle="1" w:styleId="FunotentextZchn">
    <w:name w:val="Fußnotentext Zchn"/>
    <w:aliases w:val="5_G Zchn,Footnote Text Char Char Char Char Char Zchn,Footnote Text Char Char Char Char Zchn,Footnote reference Zchn,FA Fu Zchn,Footnote Text Char Char Char Zchn,Footnote Text Char Char Char Char Char Char Char Char Zchn,footnotes Zchn"/>
    <w:basedOn w:val="Absatz-Standardschriftart"/>
    <w:link w:val="Funotentext"/>
    <w:qFormat/>
    <w:rsid w:val="00162EE9"/>
    <w:rPr>
      <w:rFonts w:cs="Arial"/>
      <w:sz w:val="20"/>
      <w:szCs w:val="20"/>
    </w:rPr>
  </w:style>
  <w:style w:type="character" w:styleId="Funotenzeichen">
    <w:name w:val="footnote reference"/>
    <w:aliases w:val="4_G,Footnote number,4_G Char Char Char Char,Footnotes refss Char Char Char Char,ftref Char Char Char Char,BVI fnr Char Char Char Char,BVI fnr Car Car Char Char Char Char,BVI fnr Car Char Char Char Char,Footnotes refss,Footnote,NO"/>
    <w:basedOn w:val="Absatz-Standardschriftart"/>
    <w:link w:val="4GCharCharChar"/>
    <w:qFormat/>
    <w:rsid w:val="00162EE9"/>
    <w:rPr>
      <w:vertAlign w:val="superscript"/>
    </w:rPr>
  </w:style>
  <w:style w:type="character" w:styleId="IntensiveHervorhebung">
    <w:name w:val="Intense Emphasis"/>
    <w:aliases w:val="Rot Fett,IH-Rot Fett"/>
    <w:basedOn w:val="Absatz-Standardschriftart"/>
    <w:uiPriority w:val="4"/>
    <w:qFormat/>
    <w:rsid w:val="00162EE9"/>
    <w:rPr>
      <w:b/>
      <w:i w:val="0"/>
      <w:iCs/>
      <w:color w:val="B0050D"/>
    </w:rPr>
  </w:style>
  <w:style w:type="paragraph" w:styleId="Listenfortsetzung5">
    <w:name w:val="List Continue 5"/>
    <w:basedOn w:val="Standard"/>
    <w:uiPriority w:val="99"/>
    <w:semiHidden/>
    <w:rsid w:val="00162EE9"/>
    <w:pPr>
      <w:numPr>
        <w:ilvl w:val="4"/>
        <w:numId w:val="20"/>
      </w:numPr>
      <w:spacing w:after="120" w:line="240" w:lineRule="auto"/>
      <w:contextualSpacing/>
    </w:pPr>
    <w:rPr>
      <w:rFonts w:cs="Arial"/>
      <w:sz w:val="24"/>
      <w:szCs w:val="22"/>
    </w:rPr>
  </w:style>
  <w:style w:type="paragraph" w:styleId="Listenfortsetzung2">
    <w:name w:val="List Continue 2"/>
    <w:basedOn w:val="Standard"/>
    <w:uiPriority w:val="99"/>
    <w:semiHidden/>
    <w:rsid w:val="00162EE9"/>
    <w:pPr>
      <w:numPr>
        <w:ilvl w:val="1"/>
        <w:numId w:val="20"/>
      </w:numPr>
      <w:spacing w:after="120" w:line="240" w:lineRule="auto"/>
      <w:contextualSpacing/>
    </w:pPr>
    <w:rPr>
      <w:rFonts w:cs="Arial"/>
      <w:sz w:val="24"/>
      <w:szCs w:val="22"/>
    </w:rPr>
  </w:style>
  <w:style w:type="paragraph" w:styleId="Listenfortsetzung">
    <w:name w:val="List Continue"/>
    <w:basedOn w:val="Standard"/>
    <w:uiPriority w:val="99"/>
    <w:semiHidden/>
    <w:rsid w:val="00162EE9"/>
    <w:pPr>
      <w:numPr>
        <w:numId w:val="20"/>
      </w:numPr>
      <w:spacing w:after="120" w:line="240" w:lineRule="auto"/>
      <w:contextualSpacing/>
    </w:pPr>
    <w:rPr>
      <w:rFonts w:cs="Arial"/>
      <w:sz w:val="24"/>
      <w:szCs w:val="22"/>
    </w:rPr>
  </w:style>
  <w:style w:type="paragraph" w:styleId="Listenfortsetzung3">
    <w:name w:val="List Continue 3"/>
    <w:basedOn w:val="Standard"/>
    <w:uiPriority w:val="99"/>
    <w:semiHidden/>
    <w:rsid w:val="00162EE9"/>
    <w:pPr>
      <w:numPr>
        <w:ilvl w:val="2"/>
        <w:numId w:val="20"/>
      </w:numPr>
      <w:spacing w:after="120" w:line="240" w:lineRule="auto"/>
      <w:contextualSpacing/>
    </w:pPr>
    <w:rPr>
      <w:rFonts w:cs="Arial"/>
      <w:sz w:val="24"/>
      <w:szCs w:val="22"/>
    </w:rPr>
  </w:style>
  <w:style w:type="character" w:styleId="SchwacheHervorhebung">
    <w:name w:val="Subtle Emphasis"/>
    <w:aliases w:val="Rot"/>
    <w:basedOn w:val="Absatz-Standardschriftart"/>
    <w:uiPriority w:val="7"/>
    <w:qFormat/>
    <w:rsid w:val="00162EE9"/>
    <w:rPr>
      <w:i w:val="0"/>
      <w:iCs/>
      <w:color w:val="B0050D"/>
    </w:rPr>
  </w:style>
  <w:style w:type="character" w:styleId="SchwacherVerweis">
    <w:name w:val="Subtle Reference"/>
    <w:aliases w:val="Unterstrichen"/>
    <w:basedOn w:val="Absatz-Standardschriftart"/>
    <w:uiPriority w:val="4"/>
    <w:qFormat/>
    <w:rsid w:val="00162EE9"/>
    <w:rPr>
      <w:caps w:val="0"/>
      <w:smallCaps w:val="0"/>
      <w:color w:val="auto"/>
      <w:u w:val="single"/>
    </w:rPr>
  </w:style>
  <w:style w:type="paragraph" w:styleId="Textkrper">
    <w:name w:val="Body Text"/>
    <w:aliases w:val="Stand."/>
    <w:basedOn w:val="Standard"/>
    <w:link w:val="TextkrperZchn"/>
    <w:qFormat/>
    <w:rsid w:val="0049032B"/>
    <w:pPr>
      <w:spacing w:after="120" w:line="240" w:lineRule="auto"/>
    </w:pPr>
    <w:rPr>
      <w:rFonts w:cs="Arial"/>
      <w:sz w:val="24"/>
      <w:szCs w:val="22"/>
    </w:rPr>
  </w:style>
  <w:style w:type="character" w:customStyle="1" w:styleId="TextkrperZchn">
    <w:name w:val="Textkörper Zchn"/>
    <w:aliases w:val="Stand. Zchn"/>
    <w:basedOn w:val="Absatz-Standardschriftart"/>
    <w:link w:val="Textkrper"/>
    <w:qFormat/>
    <w:rsid w:val="0049032B"/>
    <w:rPr>
      <w:rFonts w:cs="Arial"/>
      <w:sz w:val="24"/>
      <w:szCs w:val="22"/>
    </w:rPr>
  </w:style>
  <w:style w:type="character" w:customStyle="1" w:styleId="ListenabsatzZchn">
    <w:name w:val="Listenabsatz Zchn"/>
    <w:link w:val="Listenabsatz"/>
    <w:uiPriority w:val="34"/>
    <w:rsid w:val="00DA6749"/>
    <w:rPr>
      <w:rFonts w:eastAsia="Times New Roman" w:cs="Times New Roman"/>
      <w:sz w:val="22"/>
      <w:szCs w:val="20"/>
      <w:lang w:eastAsia="de-DE"/>
    </w:rPr>
  </w:style>
  <w:style w:type="paragraph" w:styleId="NurText">
    <w:name w:val="Plain Text"/>
    <w:aliases w:val="Klein Kursiv Einzug"/>
    <w:basedOn w:val="Standard"/>
    <w:link w:val="NurTextZchn"/>
    <w:uiPriority w:val="16"/>
    <w:unhideWhenUsed/>
    <w:qFormat/>
    <w:rsid w:val="00263272"/>
    <w:pPr>
      <w:spacing w:line="240" w:lineRule="auto"/>
    </w:pPr>
    <w:rPr>
      <w:rFonts w:ascii="Calibri" w:eastAsia="Times New Roman" w:hAnsi="Calibri"/>
      <w:kern w:val="2"/>
      <w:szCs w:val="21"/>
      <w14:ligatures w14:val="standardContextual"/>
    </w:rPr>
  </w:style>
  <w:style w:type="character" w:customStyle="1" w:styleId="NurTextZchn">
    <w:name w:val="Nur Text Zchn"/>
    <w:aliases w:val="Klein Kursiv Einzug Zchn"/>
    <w:basedOn w:val="Absatz-Standardschriftart"/>
    <w:link w:val="NurText"/>
    <w:uiPriority w:val="16"/>
    <w:rsid w:val="00263272"/>
    <w:rPr>
      <w:rFonts w:ascii="Calibri" w:eastAsia="Times New Roman" w:hAnsi="Calibri"/>
      <w:kern w:val="2"/>
      <w:sz w:val="22"/>
      <w:szCs w:val="21"/>
      <w14:ligatures w14:val="standardContextual"/>
    </w:rPr>
  </w:style>
  <w:style w:type="character" w:styleId="BesuchterLink">
    <w:name w:val="FollowedHyperlink"/>
    <w:basedOn w:val="Absatz-Standardschriftart"/>
    <w:uiPriority w:val="34"/>
    <w:semiHidden/>
    <w:unhideWhenUsed/>
    <w:rsid w:val="00CB3FDD"/>
    <w:rPr>
      <w:color w:val="144766"/>
      <w:u w:val="single"/>
    </w:rPr>
  </w:style>
  <w:style w:type="character" w:styleId="HTMLAkronym">
    <w:name w:val="HTML Acronym"/>
    <w:aliases w:val="Tab_Erste Spalte"/>
    <w:uiPriority w:val="92"/>
    <w:semiHidden/>
    <w:unhideWhenUsed/>
    <w:rsid w:val="00CB3FDD"/>
    <w:rPr>
      <w:rFonts w:ascii="Times New Roman" w:eastAsiaTheme="majorEastAsia" w:hAnsi="Times New Roman" w:cstheme="majorBidi" w:hint="default"/>
      <w:i/>
      <w:iCs/>
    </w:rPr>
  </w:style>
  <w:style w:type="character" w:customStyle="1" w:styleId="HTMLAdresseZchn">
    <w:name w:val="HTML Adresse Zchn"/>
    <w:aliases w:val="Tab_Kopfzeile Zchn"/>
    <w:basedOn w:val="Absatz-Standardschriftart"/>
    <w:link w:val="HTMLAdresse"/>
    <w:uiPriority w:val="92"/>
    <w:semiHidden/>
    <w:locked/>
    <w:rsid w:val="00CB3FDD"/>
    <w:rPr>
      <w:sz w:val="24"/>
    </w:rPr>
  </w:style>
  <w:style w:type="paragraph" w:styleId="HTMLAdresse">
    <w:name w:val="HTML Address"/>
    <w:aliases w:val="Tab_Kopfzeile"/>
    <w:basedOn w:val="Textkrper"/>
    <w:link w:val="HTMLAdresseZchn"/>
    <w:uiPriority w:val="92"/>
    <w:semiHidden/>
    <w:unhideWhenUsed/>
    <w:qFormat/>
    <w:rsid w:val="00CB3FDD"/>
    <w:pPr>
      <w:spacing w:after="0" w:line="280" w:lineRule="exact"/>
      <w:jc w:val="both"/>
    </w:pPr>
    <w:rPr>
      <w:rFonts w:cstheme="minorBidi"/>
      <w:szCs w:val="17"/>
    </w:rPr>
  </w:style>
  <w:style w:type="character" w:customStyle="1" w:styleId="HTMLAdresseZchn1">
    <w:name w:val="HTML Adresse Zchn1"/>
    <w:aliases w:val="Tab_Kopfzeile Zchn1"/>
    <w:basedOn w:val="Absatz-Standardschriftart"/>
    <w:uiPriority w:val="92"/>
    <w:semiHidden/>
    <w:rsid w:val="00CB3FDD"/>
    <w:rPr>
      <w:i/>
      <w:iCs/>
      <w:sz w:val="22"/>
    </w:rPr>
  </w:style>
  <w:style w:type="character" w:styleId="HTMLCode">
    <w:name w:val="HTML Code"/>
    <w:aliases w:val="Tab_Letzte Spalte"/>
    <w:uiPriority w:val="92"/>
    <w:semiHidden/>
    <w:unhideWhenUsed/>
    <w:qFormat/>
    <w:rsid w:val="00CB3FDD"/>
    <w:rPr>
      <w:rFonts w:ascii="Times New Roman" w:eastAsia="Times New Roman" w:hAnsi="Times New Roman" w:cs="Times New Roman" w:hint="default"/>
    </w:rPr>
  </w:style>
  <w:style w:type="paragraph" w:customStyle="1" w:styleId="msonormal0">
    <w:name w:val="msonormal"/>
    <w:basedOn w:val="Standard"/>
    <w:rsid w:val="00CB3FD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Index1">
    <w:name w:val="index 1"/>
    <w:basedOn w:val="Standard"/>
    <w:next w:val="Standard"/>
    <w:autoRedefine/>
    <w:uiPriority w:val="99"/>
    <w:semiHidden/>
    <w:unhideWhenUsed/>
    <w:rsid w:val="00CB3FDD"/>
    <w:pPr>
      <w:spacing w:line="240" w:lineRule="auto"/>
      <w:ind w:left="220" w:hanging="220"/>
    </w:pPr>
    <w:rPr>
      <w:rFonts w:cs="Arial"/>
      <w:sz w:val="24"/>
      <w:szCs w:val="22"/>
    </w:rPr>
  </w:style>
  <w:style w:type="paragraph" w:styleId="Index2">
    <w:name w:val="index 2"/>
    <w:basedOn w:val="Standard"/>
    <w:next w:val="Standard"/>
    <w:autoRedefine/>
    <w:uiPriority w:val="99"/>
    <w:semiHidden/>
    <w:unhideWhenUsed/>
    <w:rsid w:val="00CB3FDD"/>
    <w:pPr>
      <w:spacing w:line="240" w:lineRule="auto"/>
      <w:ind w:left="440" w:hanging="220"/>
    </w:pPr>
    <w:rPr>
      <w:rFonts w:cs="Arial"/>
      <w:sz w:val="24"/>
      <w:szCs w:val="22"/>
    </w:rPr>
  </w:style>
  <w:style w:type="paragraph" w:styleId="Index3">
    <w:name w:val="index 3"/>
    <w:basedOn w:val="Standard"/>
    <w:next w:val="Standard"/>
    <w:autoRedefine/>
    <w:uiPriority w:val="99"/>
    <w:semiHidden/>
    <w:unhideWhenUsed/>
    <w:rsid w:val="00CB3FDD"/>
    <w:pPr>
      <w:spacing w:line="240" w:lineRule="auto"/>
      <w:ind w:left="660" w:hanging="220"/>
    </w:pPr>
    <w:rPr>
      <w:rFonts w:cs="Arial"/>
      <w:sz w:val="24"/>
      <w:szCs w:val="22"/>
    </w:rPr>
  </w:style>
  <w:style w:type="paragraph" w:styleId="Verzeichnis1">
    <w:name w:val="toc 1"/>
    <w:basedOn w:val="Standard"/>
    <w:next w:val="Standard"/>
    <w:autoRedefine/>
    <w:uiPriority w:val="39"/>
    <w:semiHidden/>
    <w:unhideWhenUsed/>
    <w:rsid w:val="00CB3FDD"/>
    <w:pPr>
      <w:tabs>
        <w:tab w:val="left" w:pos="440"/>
        <w:tab w:val="right" w:leader="dot" w:pos="9062"/>
      </w:tabs>
      <w:spacing w:before="60" w:after="60" w:line="240" w:lineRule="auto"/>
      <w:ind w:left="425" w:hanging="425"/>
    </w:pPr>
    <w:rPr>
      <w:rFonts w:cs="Arial"/>
      <w:b/>
      <w:sz w:val="24"/>
      <w:szCs w:val="22"/>
    </w:rPr>
  </w:style>
  <w:style w:type="paragraph" w:styleId="Verzeichnis2">
    <w:name w:val="toc 2"/>
    <w:basedOn w:val="Standard"/>
    <w:next w:val="Standard"/>
    <w:autoRedefine/>
    <w:uiPriority w:val="39"/>
    <w:semiHidden/>
    <w:unhideWhenUsed/>
    <w:rsid w:val="00CB3FDD"/>
    <w:pPr>
      <w:tabs>
        <w:tab w:val="left" w:pos="442"/>
        <w:tab w:val="left" w:pos="567"/>
        <w:tab w:val="right" w:leader="dot" w:pos="9062"/>
      </w:tabs>
      <w:spacing w:before="60" w:after="60" w:line="240" w:lineRule="auto"/>
      <w:ind w:left="425" w:hanging="425"/>
    </w:pPr>
    <w:rPr>
      <w:rFonts w:cs="Arial"/>
      <w:noProof/>
      <w:sz w:val="24"/>
      <w:szCs w:val="22"/>
    </w:rPr>
  </w:style>
  <w:style w:type="paragraph" w:styleId="Verzeichnis3">
    <w:name w:val="toc 3"/>
    <w:basedOn w:val="Standard"/>
    <w:next w:val="Standard"/>
    <w:autoRedefine/>
    <w:uiPriority w:val="39"/>
    <w:semiHidden/>
    <w:unhideWhenUsed/>
    <w:rsid w:val="00CB3FDD"/>
    <w:pPr>
      <w:tabs>
        <w:tab w:val="left" w:pos="1100"/>
        <w:tab w:val="right" w:leader="dot" w:pos="9070"/>
      </w:tabs>
      <w:spacing w:before="60" w:after="60" w:line="240" w:lineRule="auto"/>
      <w:ind w:left="850" w:hanging="425"/>
    </w:pPr>
    <w:rPr>
      <w:rFonts w:cs="Arial"/>
      <w:i/>
      <w:sz w:val="24"/>
      <w:szCs w:val="22"/>
    </w:rPr>
  </w:style>
  <w:style w:type="paragraph" w:styleId="Verzeichnis4">
    <w:name w:val="toc 4"/>
    <w:basedOn w:val="Standard"/>
    <w:next w:val="Standard"/>
    <w:autoRedefine/>
    <w:uiPriority w:val="39"/>
    <w:semiHidden/>
    <w:unhideWhenUsed/>
    <w:rsid w:val="00CB3FDD"/>
    <w:pPr>
      <w:tabs>
        <w:tab w:val="left" w:pos="1540"/>
        <w:tab w:val="right" w:leader="dot" w:pos="9070"/>
      </w:tabs>
      <w:spacing w:after="100" w:line="240" w:lineRule="auto"/>
      <w:ind w:left="1560" w:hanging="851"/>
    </w:pPr>
    <w:rPr>
      <w:rFonts w:cs="Arial"/>
      <w:sz w:val="20"/>
      <w:szCs w:val="22"/>
    </w:rPr>
  </w:style>
  <w:style w:type="paragraph" w:styleId="Verzeichnis5">
    <w:name w:val="toc 5"/>
    <w:basedOn w:val="Standard"/>
    <w:next w:val="Standard"/>
    <w:autoRedefine/>
    <w:uiPriority w:val="39"/>
    <w:semiHidden/>
    <w:unhideWhenUsed/>
    <w:rsid w:val="00CB3FDD"/>
    <w:pPr>
      <w:spacing w:after="100" w:line="240" w:lineRule="auto"/>
      <w:ind w:left="880"/>
    </w:pPr>
    <w:rPr>
      <w:rFonts w:cs="Arial"/>
      <w:sz w:val="24"/>
      <w:szCs w:val="22"/>
    </w:rPr>
  </w:style>
  <w:style w:type="paragraph" w:styleId="Verzeichnis6">
    <w:name w:val="toc 6"/>
    <w:basedOn w:val="Standard"/>
    <w:next w:val="Standard"/>
    <w:autoRedefine/>
    <w:uiPriority w:val="39"/>
    <w:semiHidden/>
    <w:unhideWhenUsed/>
    <w:rsid w:val="00CB3FDD"/>
    <w:pPr>
      <w:spacing w:after="100" w:line="240" w:lineRule="auto"/>
      <w:ind w:left="1100"/>
    </w:pPr>
    <w:rPr>
      <w:rFonts w:cs="Arial"/>
      <w:sz w:val="24"/>
      <w:szCs w:val="22"/>
    </w:rPr>
  </w:style>
  <w:style w:type="paragraph" w:styleId="Verzeichnis7">
    <w:name w:val="toc 7"/>
    <w:basedOn w:val="Standard"/>
    <w:next w:val="Standard"/>
    <w:autoRedefine/>
    <w:uiPriority w:val="39"/>
    <w:semiHidden/>
    <w:unhideWhenUsed/>
    <w:rsid w:val="00CB3FDD"/>
    <w:pPr>
      <w:spacing w:after="100" w:line="240" w:lineRule="auto"/>
      <w:ind w:left="1320"/>
    </w:pPr>
    <w:rPr>
      <w:rFonts w:cs="Arial"/>
      <w:sz w:val="24"/>
      <w:szCs w:val="22"/>
    </w:rPr>
  </w:style>
  <w:style w:type="paragraph" w:styleId="Verzeichnis8">
    <w:name w:val="toc 8"/>
    <w:basedOn w:val="Standard"/>
    <w:next w:val="Standard"/>
    <w:autoRedefine/>
    <w:uiPriority w:val="39"/>
    <w:semiHidden/>
    <w:unhideWhenUsed/>
    <w:rsid w:val="00CB3FDD"/>
    <w:pPr>
      <w:spacing w:after="100" w:line="240" w:lineRule="auto"/>
      <w:ind w:left="1540"/>
    </w:pPr>
    <w:rPr>
      <w:rFonts w:cs="Arial"/>
      <w:sz w:val="24"/>
      <w:szCs w:val="22"/>
    </w:rPr>
  </w:style>
  <w:style w:type="paragraph" w:styleId="Verzeichnis9">
    <w:name w:val="toc 9"/>
    <w:basedOn w:val="Standard"/>
    <w:next w:val="Standard"/>
    <w:autoRedefine/>
    <w:uiPriority w:val="39"/>
    <w:semiHidden/>
    <w:unhideWhenUsed/>
    <w:rsid w:val="00CB3FDD"/>
    <w:pPr>
      <w:spacing w:after="100" w:line="240" w:lineRule="auto"/>
      <w:ind w:left="1760"/>
    </w:pPr>
    <w:rPr>
      <w:rFonts w:cs="Arial"/>
      <w:sz w:val="24"/>
      <w:szCs w:val="22"/>
    </w:rPr>
  </w:style>
  <w:style w:type="paragraph" w:styleId="Standardeinzug">
    <w:name w:val="Normal Indent"/>
    <w:basedOn w:val="Standard"/>
    <w:uiPriority w:val="99"/>
    <w:semiHidden/>
    <w:unhideWhenUsed/>
    <w:rsid w:val="00CB3FDD"/>
    <w:pPr>
      <w:spacing w:after="120" w:line="240" w:lineRule="auto"/>
      <w:ind w:left="708"/>
    </w:pPr>
    <w:rPr>
      <w:rFonts w:cs="Arial"/>
      <w:sz w:val="24"/>
      <w:szCs w:val="22"/>
    </w:rPr>
  </w:style>
  <w:style w:type="character" w:customStyle="1" w:styleId="FunotentextZchn1">
    <w:name w:val="Fußnotentext Zchn1"/>
    <w:aliases w:val="5_G Zchn1,Footnote Text Char Char Char Char Char Zchn1,Footnote Text Char Char Char Char Zchn1,Footnote reference Zchn1,FA Fu Zchn1,Footnote Text Char Char Char Zchn1,Footnote Text Char Char Char Char Char Char Char Char Zchn1,fn Zchn"/>
    <w:basedOn w:val="Absatz-Standardschriftart"/>
    <w:semiHidden/>
    <w:rsid w:val="00CB3FDD"/>
    <w:rPr>
      <w:rFonts w:cs="Arial"/>
      <w:sz w:val="20"/>
      <w:szCs w:val="20"/>
    </w:rPr>
  </w:style>
  <w:style w:type="paragraph" w:styleId="Kommentartext">
    <w:name w:val="annotation text"/>
    <w:basedOn w:val="Standard"/>
    <w:link w:val="KommentartextZchn"/>
    <w:uiPriority w:val="99"/>
    <w:semiHidden/>
    <w:unhideWhenUsed/>
    <w:rsid w:val="00CB3FDD"/>
    <w:pPr>
      <w:spacing w:after="120" w:line="240" w:lineRule="auto"/>
    </w:pPr>
    <w:rPr>
      <w:rFonts w:cs="Arial"/>
      <w:sz w:val="20"/>
      <w:szCs w:val="20"/>
    </w:rPr>
  </w:style>
  <w:style w:type="character" w:customStyle="1" w:styleId="KommentartextZchn">
    <w:name w:val="Kommentartext Zchn"/>
    <w:basedOn w:val="Absatz-Standardschriftart"/>
    <w:link w:val="Kommentartext"/>
    <w:uiPriority w:val="99"/>
    <w:semiHidden/>
    <w:rsid w:val="00CB3FDD"/>
    <w:rPr>
      <w:rFonts w:cs="Arial"/>
      <w:sz w:val="20"/>
      <w:szCs w:val="20"/>
    </w:rPr>
  </w:style>
  <w:style w:type="paragraph" w:styleId="Indexberschrift">
    <w:name w:val="index heading"/>
    <w:basedOn w:val="Standard"/>
    <w:next w:val="Index1"/>
    <w:uiPriority w:val="99"/>
    <w:semiHidden/>
    <w:unhideWhenUsed/>
    <w:rsid w:val="00CB3FDD"/>
    <w:pPr>
      <w:spacing w:after="120" w:line="240" w:lineRule="auto"/>
    </w:pPr>
    <w:rPr>
      <w:rFonts w:eastAsiaTheme="majorEastAsia" w:cstheme="majorBidi"/>
      <w:b/>
      <w:bCs/>
      <w:color w:val="B0050D"/>
      <w:sz w:val="24"/>
      <w:szCs w:val="22"/>
    </w:rPr>
  </w:style>
  <w:style w:type="paragraph" w:styleId="Abbildungsverzeichnis">
    <w:name w:val="table of figures"/>
    <w:basedOn w:val="Standard"/>
    <w:next w:val="Standard"/>
    <w:uiPriority w:val="97"/>
    <w:semiHidden/>
    <w:unhideWhenUsed/>
    <w:rsid w:val="00CB3FDD"/>
    <w:pPr>
      <w:spacing w:line="240" w:lineRule="auto"/>
    </w:pPr>
    <w:rPr>
      <w:rFonts w:cs="Arial"/>
      <w:sz w:val="24"/>
      <w:szCs w:val="22"/>
    </w:rPr>
  </w:style>
  <w:style w:type="paragraph" w:styleId="Endnotentext">
    <w:name w:val="endnote text"/>
    <w:basedOn w:val="Standard"/>
    <w:link w:val="EndnotentextZchn"/>
    <w:uiPriority w:val="96"/>
    <w:semiHidden/>
    <w:unhideWhenUsed/>
    <w:rsid w:val="00CB3FDD"/>
    <w:pPr>
      <w:spacing w:line="240" w:lineRule="auto"/>
    </w:pPr>
    <w:rPr>
      <w:rFonts w:cs="Arial"/>
      <w:sz w:val="24"/>
      <w:szCs w:val="20"/>
    </w:rPr>
  </w:style>
  <w:style w:type="character" w:customStyle="1" w:styleId="EndnotentextZchn">
    <w:name w:val="Endnotentext Zchn"/>
    <w:basedOn w:val="Absatz-Standardschriftart"/>
    <w:link w:val="Endnotentext"/>
    <w:uiPriority w:val="96"/>
    <w:semiHidden/>
    <w:rsid w:val="00CB3FDD"/>
    <w:rPr>
      <w:rFonts w:cs="Arial"/>
      <w:sz w:val="24"/>
      <w:szCs w:val="20"/>
    </w:rPr>
  </w:style>
  <w:style w:type="paragraph" w:styleId="Liste">
    <w:name w:val="List"/>
    <w:basedOn w:val="Standard"/>
    <w:uiPriority w:val="99"/>
    <w:semiHidden/>
    <w:unhideWhenUsed/>
    <w:rsid w:val="00CB3FDD"/>
    <w:pPr>
      <w:spacing w:after="120" w:line="240" w:lineRule="auto"/>
      <w:ind w:left="284" w:hanging="284"/>
    </w:pPr>
    <w:rPr>
      <w:rFonts w:cs="Arial"/>
      <w:sz w:val="24"/>
      <w:szCs w:val="22"/>
    </w:rPr>
  </w:style>
  <w:style w:type="paragraph" w:styleId="Listennummer">
    <w:name w:val="List Number"/>
    <w:basedOn w:val="Standard"/>
    <w:uiPriority w:val="2"/>
    <w:semiHidden/>
    <w:unhideWhenUsed/>
    <w:qFormat/>
    <w:rsid w:val="00CB3FDD"/>
    <w:pPr>
      <w:numPr>
        <w:numId w:val="35"/>
      </w:numPr>
      <w:spacing w:after="120" w:line="240" w:lineRule="auto"/>
    </w:pPr>
    <w:rPr>
      <w:rFonts w:cs="Arial"/>
      <w:sz w:val="24"/>
      <w:szCs w:val="22"/>
    </w:rPr>
  </w:style>
  <w:style w:type="paragraph" w:styleId="Liste2">
    <w:name w:val="List 2"/>
    <w:basedOn w:val="Standard"/>
    <w:uiPriority w:val="99"/>
    <w:semiHidden/>
    <w:unhideWhenUsed/>
    <w:rsid w:val="00CB3FDD"/>
    <w:pPr>
      <w:spacing w:after="120" w:line="240" w:lineRule="auto"/>
      <w:ind w:left="566" w:hanging="283"/>
      <w:contextualSpacing/>
    </w:pPr>
    <w:rPr>
      <w:rFonts w:cs="Arial"/>
      <w:sz w:val="24"/>
      <w:szCs w:val="22"/>
    </w:rPr>
  </w:style>
  <w:style w:type="paragraph" w:styleId="Liste3">
    <w:name w:val="List 3"/>
    <w:basedOn w:val="Standard"/>
    <w:uiPriority w:val="99"/>
    <w:semiHidden/>
    <w:unhideWhenUsed/>
    <w:rsid w:val="00CB3FDD"/>
    <w:pPr>
      <w:spacing w:after="120" w:line="240" w:lineRule="auto"/>
      <w:ind w:left="851" w:hanging="284"/>
    </w:pPr>
    <w:rPr>
      <w:rFonts w:cs="Arial"/>
      <w:sz w:val="24"/>
      <w:szCs w:val="22"/>
    </w:rPr>
  </w:style>
  <w:style w:type="paragraph" w:styleId="Liste4">
    <w:name w:val="List 4"/>
    <w:basedOn w:val="Standard"/>
    <w:uiPriority w:val="99"/>
    <w:semiHidden/>
    <w:unhideWhenUsed/>
    <w:rsid w:val="00CB3FDD"/>
    <w:pPr>
      <w:spacing w:after="120" w:line="240" w:lineRule="auto"/>
      <w:ind w:left="1132" w:hanging="283"/>
      <w:contextualSpacing/>
    </w:pPr>
    <w:rPr>
      <w:rFonts w:cs="Arial"/>
      <w:sz w:val="24"/>
      <w:szCs w:val="22"/>
    </w:rPr>
  </w:style>
  <w:style w:type="paragraph" w:styleId="Liste5">
    <w:name w:val="List 5"/>
    <w:basedOn w:val="Standard"/>
    <w:uiPriority w:val="99"/>
    <w:semiHidden/>
    <w:unhideWhenUsed/>
    <w:rsid w:val="00CB3FDD"/>
    <w:pPr>
      <w:spacing w:after="120" w:line="240" w:lineRule="auto"/>
      <w:ind w:left="1415" w:hanging="283"/>
      <w:contextualSpacing/>
    </w:pPr>
    <w:rPr>
      <w:rFonts w:cs="Arial"/>
      <w:sz w:val="24"/>
      <w:szCs w:val="22"/>
    </w:rPr>
  </w:style>
  <w:style w:type="paragraph" w:styleId="Listennummer2">
    <w:name w:val="List Number 2"/>
    <w:basedOn w:val="Standard"/>
    <w:uiPriority w:val="2"/>
    <w:semiHidden/>
    <w:unhideWhenUsed/>
    <w:rsid w:val="00CB3FDD"/>
    <w:pPr>
      <w:numPr>
        <w:ilvl w:val="1"/>
        <w:numId w:val="35"/>
      </w:numPr>
      <w:spacing w:after="120" w:line="240" w:lineRule="auto"/>
    </w:pPr>
    <w:rPr>
      <w:rFonts w:cs="Arial"/>
      <w:sz w:val="24"/>
      <w:szCs w:val="22"/>
    </w:rPr>
  </w:style>
  <w:style w:type="paragraph" w:styleId="Listennummer3">
    <w:name w:val="List Number 3"/>
    <w:basedOn w:val="Standard"/>
    <w:uiPriority w:val="2"/>
    <w:semiHidden/>
    <w:unhideWhenUsed/>
    <w:rsid w:val="00CB3FDD"/>
    <w:pPr>
      <w:numPr>
        <w:ilvl w:val="2"/>
        <w:numId w:val="35"/>
      </w:numPr>
      <w:spacing w:after="120" w:line="240" w:lineRule="auto"/>
    </w:pPr>
    <w:rPr>
      <w:rFonts w:cs="Arial"/>
      <w:sz w:val="24"/>
      <w:szCs w:val="22"/>
    </w:rPr>
  </w:style>
  <w:style w:type="paragraph" w:styleId="Listennummer4">
    <w:name w:val="List Number 4"/>
    <w:basedOn w:val="Standard"/>
    <w:uiPriority w:val="2"/>
    <w:semiHidden/>
    <w:unhideWhenUsed/>
    <w:rsid w:val="00CB3FDD"/>
    <w:pPr>
      <w:numPr>
        <w:ilvl w:val="3"/>
        <w:numId w:val="35"/>
      </w:numPr>
      <w:spacing w:after="120" w:line="240" w:lineRule="auto"/>
    </w:pPr>
    <w:rPr>
      <w:rFonts w:cs="Arial"/>
      <w:sz w:val="24"/>
      <w:szCs w:val="22"/>
    </w:rPr>
  </w:style>
  <w:style w:type="paragraph" w:styleId="Listennummer5">
    <w:name w:val="List Number 5"/>
    <w:basedOn w:val="Standard"/>
    <w:uiPriority w:val="2"/>
    <w:semiHidden/>
    <w:unhideWhenUsed/>
    <w:rsid w:val="00CB3FDD"/>
    <w:pPr>
      <w:numPr>
        <w:ilvl w:val="4"/>
        <w:numId w:val="35"/>
      </w:numPr>
      <w:spacing w:after="120" w:line="240" w:lineRule="auto"/>
    </w:pPr>
    <w:rPr>
      <w:rFonts w:cs="Arial"/>
      <w:sz w:val="24"/>
      <w:szCs w:val="22"/>
    </w:rPr>
  </w:style>
  <w:style w:type="paragraph" w:styleId="Untertitel">
    <w:name w:val="Subtitle"/>
    <w:basedOn w:val="Standard"/>
    <w:next w:val="Standard"/>
    <w:link w:val="UntertitelZchn"/>
    <w:uiPriority w:val="26"/>
    <w:qFormat/>
    <w:rsid w:val="00CB3FDD"/>
    <w:pPr>
      <w:suppressAutoHyphens/>
      <w:spacing w:before="120" w:after="240" w:line="240" w:lineRule="auto"/>
    </w:pPr>
    <w:rPr>
      <w:rFonts w:eastAsiaTheme="majorEastAsia" w:cstheme="majorBidi"/>
      <w:b/>
      <w:iCs/>
      <w:spacing w:val="10"/>
      <w:sz w:val="28"/>
      <w:szCs w:val="28"/>
    </w:rPr>
  </w:style>
  <w:style w:type="character" w:customStyle="1" w:styleId="UntertitelZchn">
    <w:name w:val="Untertitel Zchn"/>
    <w:basedOn w:val="Absatz-Standardschriftart"/>
    <w:link w:val="Untertitel"/>
    <w:uiPriority w:val="26"/>
    <w:rsid w:val="00CB3FDD"/>
    <w:rPr>
      <w:rFonts w:eastAsiaTheme="majorEastAsia" w:cstheme="majorBidi"/>
      <w:b/>
      <w:iCs/>
      <w:spacing w:val="10"/>
      <w:sz w:val="28"/>
      <w:szCs w:val="28"/>
    </w:rPr>
  </w:style>
  <w:style w:type="paragraph" w:styleId="Gruformel">
    <w:name w:val="Closing"/>
    <w:basedOn w:val="Standard"/>
    <w:next w:val="Textkrper"/>
    <w:link w:val="GruformelZchn"/>
    <w:uiPriority w:val="28"/>
    <w:semiHidden/>
    <w:unhideWhenUsed/>
    <w:rsid w:val="00CB3FDD"/>
    <w:pPr>
      <w:tabs>
        <w:tab w:val="left" w:pos="2410"/>
      </w:tabs>
      <w:spacing w:before="480" w:after="120" w:line="240" w:lineRule="auto"/>
      <w:ind w:left="2410" w:hanging="2410"/>
    </w:pPr>
    <w:rPr>
      <w:rFonts w:eastAsia="Calibri" w:cs="Arial"/>
      <w:sz w:val="24"/>
      <w:szCs w:val="22"/>
    </w:rPr>
  </w:style>
  <w:style w:type="character" w:customStyle="1" w:styleId="GruformelZchn">
    <w:name w:val="Grußformel Zchn"/>
    <w:basedOn w:val="Absatz-Standardschriftart"/>
    <w:link w:val="Gruformel"/>
    <w:uiPriority w:val="28"/>
    <w:semiHidden/>
    <w:rsid w:val="00CB3FDD"/>
    <w:rPr>
      <w:rFonts w:eastAsia="Calibri" w:cs="Arial"/>
      <w:sz w:val="24"/>
      <w:szCs w:val="22"/>
    </w:rPr>
  </w:style>
  <w:style w:type="character" w:customStyle="1" w:styleId="Textkrper-ZeileneinzugZchn">
    <w:name w:val="Textkörper-Zeileneinzug Zchn"/>
    <w:aliases w:val="Einzug Zchn"/>
    <w:basedOn w:val="Absatz-Standardschriftart"/>
    <w:link w:val="Textkrper-Zeileneinzug"/>
    <w:uiPriority w:val="19"/>
    <w:semiHidden/>
    <w:locked/>
    <w:rsid w:val="00CB3FDD"/>
    <w:rPr>
      <w:sz w:val="24"/>
    </w:rPr>
  </w:style>
  <w:style w:type="paragraph" w:styleId="Textkrper-Zeileneinzug">
    <w:name w:val="Body Text Indent"/>
    <w:aliases w:val="Einzug"/>
    <w:basedOn w:val="Standard"/>
    <w:next w:val="Textkrper"/>
    <w:link w:val="Textkrper-ZeileneinzugZchn"/>
    <w:uiPriority w:val="19"/>
    <w:semiHidden/>
    <w:unhideWhenUsed/>
    <w:qFormat/>
    <w:rsid w:val="00CB3FDD"/>
    <w:pPr>
      <w:spacing w:after="120" w:line="240" w:lineRule="auto"/>
      <w:ind w:left="340"/>
    </w:pPr>
    <w:rPr>
      <w:sz w:val="24"/>
    </w:rPr>
  </w:style>
  <w:style w:type="character" w:customStyle="1" w:styleId="Textkrper-ZeileneinzugZchn1">
    <w:name w:val="Textkörper-Zeileneinzug Zchn1"/>
    <w:aliases w:val="Einzug Zchn1"/>
    <w:basedOn w:val="Absatz-Standardschriftart"/>
    <w:uiPriority w:val="19"/>
    <w:semiHidden/>
    <w:rsid w:val="00CB3FDD"/>
    <w:rPr>
      <w:sz w:val="22"/>
    </w:rPr>
  </w:style>
  <w:style w:type="paragraph" w:styleId="Listenfortsetzung4">
    <w:name w:val="List Continue 4"/>
    <w:basedOn w:val="Standard"/>
    <w:uiPriority w:val="99"/>
    <w:semiHidden/>
    <w:unhideWhenUsed/>
    <w:rsid w:val="00CB3FDD"/>
    <w:pPr>
      <w:spacing w:after="120" w:line="240" w:lineRule="auto"/>
      <w:ind w:left="1446"/>
      <w:contextualSpacing/>
    </w:pPr>
    <w:rPr>
      <w:rFonts w:cs="Arial"/>
      <w:sz w:val="24"/>
      <w:szCs w:val="22"/>
    </w:rPr>
  </w:style>
  <w:style w:type="paragraph" w:styleId="Anrede">
    <w:name w:val="Salutation"/>
    <w:basedOn w:val="Standard"/>
    <w:next w:val="Standard"/>
    <w:link w:val="AnredeZchn"/>
    <w:uiPriority w:val="28"/>
    <w:semiHidden/>
    <w:unhideWhenUsed/>
    <w:rsid w:val="00CB3FDD"/>
    <w:pPr>
      <w:spacing w:before="720" w:after="240" w:line="240" w:lineRule="auto"/>
    </w:pPr>
    <w:rPr>
      <w:rFonts w:eastAsia="Calibri" w:cs="Arial"/>
      <w:noProof/>
      <w:sz w:val="24"/>
      <w:szCs w:val="22"/>
    </w:rPr>
  </w:style>
  <w:style w:type="character" w:customStyle="1" w:styleId="AnredeZchn">
    <w:name w:val="Anrede Zchn"/>
    <w:basedOn w:val="Absatz-Standardschriftart"/>
    <w:link w:val="Anrede"/>
    <w:uiPriority w:val="28"/>
    <w:semiHidden/>
    <w:rsid w:val="00CB3FDD"/>
    <w:rPr>
      <w:rFonts w:eastAsia="Calibri" w:cs="Arial"/>
      <w:noProof/>
      <w:sz w:val="24"/>
      <w:szCs w:val="22"/>
    </w:rPr>
  </w:style>
  <w:style w:type="paragraph" w:styleId="Datum">
    <w:name w:val="Date"/>
    <w:basedOn w:val="Standard"/>
    <w:next w:val="berschrift1"/>
    <w:link w:val="DatumZchn"/>
    <w:uiPriority w:val="27"/>
    <w:semiHidden/>
    <w:unhideWhenUsed/>
    <w:qFormat/>
    <w:rsid w:val="00CB3FDD"/>
    <w:pPr>
      <w:spacing w:before="240" w:after="600" w:line="240" w:lineRule="auto"/>
    </w:pPr>
    <w:rPr>
      <w:rFonts w:eastAsia="Calibri" w:cs="Arial"/>
      <w:noProof/>
      <w:sz w:val="24"/>
      <w:szCs w:val="22"/>
    </w:rPr>
  </w:style>
  <w:style w:type="character" w:customStyle="1" w:styleId="DatumZchn">
    <w:name w:val="Datum Zchn"/>
    <w:basedOn w:val="Absatz-Standardschriftart"/>
    <w:link w:val="Datum"/>
    <w:uiPriority w:val="27"/>
    <w:semiHidden/>
    <w:rsid w:val="00CB3FDD"/>
    <w:rPr>
      <w:rFonts w:eastAsia="Calibri" w:cs="Arial"/>
      <w:noProof/>
      <w:sz w:val="24"/>
      <w:szCs w:val="22"/>
    </w:rPr>
  </w:style>
  <w:style w:type="character" w:customStyle="1" w:styleId="Textkrper-ErstzeileneinzugZchn">
    <w:name w:val="Textkörper-Erstzeileneinzug Zchn"/>
    <w:aliases w:val="Erstzeileneinzug klein Zchn"/>
    <w:basedOn w:val="TextkrperZchn"/>
    <w:link w:val="Textkrper-Erstzeileneinzug"/>
    <w:uiPriority w:val="21"/>
    <w:semiHidden/>
    <w:locked/>
    <w:rsid w:val="00CB3FDD"/>
    <w:rPr>
      <w:rFonts w:cs="Arial"/>
      <w:sz w:val="24"/>
      <w:szCs w:val="22"/>
    </w:rPr>
  </w:style>
  <w:style w:type="paragraph" w:styleId="Textkrper-Erstzeileneinzug">
    <w:name w:val="Body Text First Indent"/>
    <w:aliases w:val="Erstzeileneinzug klein"/>
    <w:basedOn w:val="Textkrper"/>
    <w:next w:val="Textkrper"/>
    <w:link w:val="Textkrper-ErstzeileneinzugZchn"/>
    <w:uiPriority w:val="21"/>
    <w:semiHidden/>
    <w:unhideWhenUsed/>
    <w:qFormat/>
    <w:rsid w:val="00CB3FDD"/>
    <w:pPr>
      <w:spacing w:line="280" w:lineRule="exact"/>
      <w:ind w:firstLine="340"/>
      <w:jc w:val="both"/>
    </w:pPr>
  </w:style>
  <w:style w:type="character" w:customStyle="1" w:styleId="Textkrper-ErstzeileneinzugZchn1">
    <w:name w:val="Textkörper-Erstzeileneinzug Zchn1"/>
    <w:aliases w:val="Erstzeileneinzug klein Zchn1"/>
    <w:basedOn w:val="TextkrperZchn"/>
    <w:uiPriority w:val="21"/>
    <w:semiHidden/>
    <w:rsid w:val="00CB3FDD"/>
    <w:rPr>
      <w:rFonts w:cs="Arial"/>
      <w:sz w:val="22"/>
      <w:szCs w:val="22"/>
    </w:rPr>
  </w:style>
  <w:style w:type="character" w:customStyle="1" w:styleId="Textkrper-Erstzeileneinzug2Zchn">
    <w:name w:val="Textkörper-Erstzeileneinzug 2 Zchn"/>
    <w:aliases w:val="Kopf Zchn"/>
    <w:basedOn w:val="Textkrper-ZeileneinzugZchn"/>
    <w:link w:val="Textkrper-Erstzeileneinzug2"/>
    <w:uiPriority w:val="24"/>
    <w:semiHidden/>
    <w:locked/>
    <w:rsid w:val="00CB3FDD"/>
    <w:rPr>
      <w:sz w:val="24"/>
    </w:rPr>
  </w:style>
  <w:style w:type="paragraph" w:styleId="Textkrper-Erstzeileneinzug2">
    <w:name w:val="Body Text First Indent 2"/>
    <w:aliases w:val="Kopf"/>
    <w:basedOn w:val="Textkrper"/>
    <w:next w:val="Datum"/>
    <w:link w:val="Textkrper-Erstzeileneinzug2Zchn"/>
    <w:uiPriority w:val="24"/>
    <w:semiHidden/>
    <w:unhideWhenUsed/>
    <w:qFormat/>
    <w:rsid w:val="00CB3FDD"/>
    <w:pPr>
      <w:tabs>
        <w:tab w:val="left" w:pos="2410"/>
      </w:tabs>
      <w:spacing w:line="280" w:lineRule="exact"/>
      <w:ind w:left="2410" w:hanging="2410"/>
      <w:jc w:val="both"/>
    </w:pPr>
    <w:rPr>
      <w:rFonts w:cstheme="minorBidi"/>
      <w:szCs w:val="17"/>
    </w:rPr>
  </w:style>
  <w:style w:type="character" w:customStyle="1" w:styleId="Textkrper-Erstzeileneinzug2Zchn1">
    <w:name w:val="Textkörper-Erstzeileneinzug 2 Zchn1"/>
    <w:aliases w:val="Kopf Zchn1"/>
    <w:basedOn w:val="Textkrper-ZeileneinzugZchn1"/>
    <w:uiPriority w:val="24"/>
    <w:semiHidden/>
    <w:rsid w:val="00CB3FDD"/>
    <w:rPr>
      <w:sz w:val="22"/>
    </w:rPr>
  </w:style>
  <w:style w:type="paragraph" w:styleId="Fu-Endnotenberschrift">
    <w:name w:val="Note Heading"/>
    <w:basedOn w:val="Standard"/>
    <w:next w:val="Standard"/>
    <w:link w:val="Fu-EndnotenberschriftZchn"/>
    <w:uiPriority w:val="96"/>
    <w:semiHidden/>
    <w:unhideWhenUsed/>
    <w:rsid w:val="00CB3FDD"/>
    <w:pPr>
      <w:spacing w:line="240" w:lineRule="auto"/>
    </w:pPr>
    <w:rPr>
      <w:rFonts w:cs="Arial"/>
      <w:sz w:val="24"/>
      <w:szCs w:val="22"/>
    </w:rPr>
  </w:style>
  <w:style w:type="character" w:customStyle="1" w:styleId="Fu-EndnotenberschriftZchn">
    <w:name w:val="Fuß/-Endnotenüberschrift Zchn"/>
    <w:basedOn w:val="Absatz-Standardschriftart"/>
    <w:link w:val="Fu-Endnotenberschrift"/>
    <w:uiPriority w:val="96"/>
    <w:semiHidden/>
    <w:rsid w:val="00CB3FDD"/>
    <w:rPr>
      <w:rFonts w:cs="Arial"/>
      <w:sz w:val="24"/>
      <w:szCs w:val="22"/>
    </w:rPr>
  </w:style>
  <w:style w:type="character" w:customStyle="1" w:styleId="Textkrper2Zchn">
    <w:name w:val="Textkörper 2 Zchn"/>
    <w:aliases w:val="Abstand Textkörper Zchn"/>
    <w:basedOn w:val="Absatz-Standardschriftart"/>
    <w:link w:val="Textkrper2"/>
    <w:uiPriority w:val="17"/>
    <w:semiHidden/>
    <w:locked/>
    <w:rsid w:val="00CB3FDD"/>
    <w:rPr>
      <w:sz w:val="24"/>
    </w:rPr>
  </w:style>
  <w:style w:type="paragraph" w:styleId="Textkrper2">
    <w:name w:val="Body Text 2"/>
    <w:aliases w:val="Abstand Textkörper"/>
    <w:basedOn w:val="Standard"/>
    <w:next w:val="Textkrper"/>
    <w:link w:val="Textkrper2Zchn"/>
    <w:uiPriority w:val="17"/>
    <w:semiHidden/>
    <w:unhideWhenUsed/>
    <w:qFormat/>
    <w:rsid w:val="00CB3FDD"/>
    <w:pPr>
      <w:spacing w:before="480" w:after="120" w:line="240" w:lineRule="auto"/>
    </w:pPr>
    <w:rPr>
      <w:sz w:val="24"/>
    </w:rPr>
  </w:style>
  <w:style w:type="character" w:customStyle="1" w:styleId="Textkrper2Zchn1">
    <w:name w:val="Textkörper 2 Zchn1"/>
    <w:aliases w:val="Abstand Textkörper Zchn1"/>
    <w:basedOn w:val="Absatz-Standardschriftart"/>
    <w:uiPriority w:val="17"/>
    <w:semiHidden/>
    <w:rsid w:val="00CB3FDD"/>
    <w:rPr>
      <w:sz w:val="22"/>
    </w:rPr>
  </w:style>
  <w:style w:type="character" w:customStyle="1" w:styleId="Textkrper3Zchn">
    <w:name w:val="Textkörper 3 Zchn"/>
    <w:aliases w:val="Gr. Abstand Zchn"/>
    <w:basedOn w:val="Absatz-Standardschriftart"/>
    <w:link w:val="Textkrper3"/>
    <w:uiPriority w:val="18"/>
    <w:semiHidden/>
    <w:locked/>
    <w:rsid w:val="00CB3FDD"/>
    <w:rPr>
      <w:sz w:val="24"/>
      <w:szCs w:val="16"/>
    </w:rPr>
  </w:style>
  <w:style w:type="paragraph" w:styleId="Textkrper3">
    <w:name w:val="Body Text 3"/>
    <w:aliases w:val="Gr. Abstand"/>
    <w:basedOn w:val="Standard"/>
    <w:next w:val="Textkrper"/>
    <w:link w:val="Textkrper3Zchn"/>
    <w:uiPriority w:val="18"/>
    <w:semiHidden/>
    <w:unhideWhenUsed/>
    <w:qFormat/>
    <w:rsid w:val="00CB3FDD"/>
    <w:pPr>
      <w:spacing w:before="1080" w:after="120" w:line="240" w:lineRule="auto"/>
    </w:pPr>
    <w:rPr>
      <w:sz w:val="24"/>
      <w:szCs w:val="16"/>
    </w:rPr>
  </w:style>
  <w:style w:type="character" w:customStyle="1" w:styleId="Textkrper3Zchn1">
    <w:name w:val="Textkörper 3 Zchn1"/>
    <w:aliases w:val="Gr. Abstand Zchn1"/>
    <w:basedOn w:val="Absatz-Standardschriftart"/>
    <w:uiPriority w:val="18"/>
    <w:semiHidden/>
    <w:rsid w:val="00CB3FDD"/>
    <w:rPr>
      <w:sz w:val="16"/>
      <w:szCs w:val="16"/>
    </w:rPr>
  </w:style>
  <w:style w:type="character" w:customStyle="1" w:styleId="Textkrper-Einzug2Zchn">
    <w:name w:val="Textkörper-Einzug 2 Zchn"/>
    <w:aliases w:val="Zentriert Zchn"/>
    <w:basedOn w:val="Absatz-Standardschriftart"/>
    <w:link w:val="Textkrper-Einzug2"/>
    <w:uiPriority w:val="23"/>
    <w:semiHidden/>
    <w:locked/>
    <w:rsid w:val="00CB3FDD"/>
    <w:rPr>
      <w:sz w:val="24"/>
    </w:rPr>
  </w:style>
  <w:style w:type="paragraph" w:styleId="Textkrper-Einzug2">
    <w:name w:val="Body Text Indent 2"/>
    <w:aliases w:val="Zentriert"/>
    <w:basedOn w:val="Standard"/>
    <w:next w:val="Textkrper"/>
    <w:link w:val="Textkrper-Einzug2Zchn"/>
    <w:uiPriority w:val="23"/>
    <w:semiHidden/>
    <w:unhideWhenUsed/>
    <w:qFormat/>
    <w:rsid w:val="00CB3FDD"/>
    <w:pPr>
      <w:suppressAutoHyphens/>
      <w:spacing w:before="240" w:after="120" w:line="240" w:lineRule="auto"/>
      <w:jc w:val="center"/>
    </w:pPr>
    <w:rPr>
      <w:sz w:val="24"/>
    </w:rPr>
  </w:style>
  <w:style w:type="character" w:customStyle="1" w:styleId="Textkrper-Einzug2Zchn1">
    <w:name w:val="Textkörper-Einzug 2 Zchn1"/>
    <w:aliases w:val="Zentriert Zchn1"/>
    <w:basedOn w:val="Absatz-Standardschriftart"/>
    <w:uiPriority w:val="23"/>
    <w:semiHidden/>
    <w:rsid w:val="00CB3FDD"/>
    <w:rPr>
      <w:sz w:val="22"/>
    </w:rPr>
  </w:style>
  <w:style w:type="character" w:customStyle="1" w:styleId="Textkrper-Einzug3Zchn">
    <w:name w:val="Textkörper-Einzug 3 Zchn"/>
    <w:aliases w:val="Einzug links rechts Zchn"/>
    <w:basedOn w:val="Absatz-Standardschriftart"/>
    <w:link w:val="Textkrper-Einzug3"/>
    <w:uiPriority w:val="20"/>
    <w:semiHidden/>
    <w:locked/>
    <w:rsid w:val="00CB3FDD"/>
    <w:rPr>
      <w:sz w:val="24"/>
      <w:szCs w:val="16"/>
    </w:rPr>
  </w:style>
  <w:style w:type="paragraph" w:styleId="Textkrper-Einzug3">
    <w:name w:val="Body Text Indent 3"/>
    <w:aliases w:val="Einzug links rechts"/>
    <w:basedOn w:val="Standard"/>
    <w:next w:val="Textkrper"/>
    <w:link w:val="Textkrper-Einzug3Zchn"/>
    <w:uiPriority w:val="20"/>
    <w:semiHidden/>
    <w:unhideWhenUsed/>
    <w:qFormat/>
    <w:rsid w:val="00CB3FDD"/>
    <w:pPr>
      <w:spacing w:after="120" w:line="240" w:lineRule="auto"/>
      <w:ind w:left="340" w:right="567"/>
    </w:pPr>
    <w:rPr>
      <w:sz w:val="24"/>
      <w:szCs w:val="16"/>
    </w:rPr>
  </w:style>
  <w:style w:type="character" w:customStyle="1" w:styleId="Textkrper-Einzug3Zchn1">
    <w:name w:val="Textkörper-Einzug 3 Zchn1"/>
    <w:aliases w:val="Einzug links rechts Zchn1"/>
    <w:basedOn w:val="Absatz-Standardschriftart"/>
    <w:uiPriority w:val="20"/>
    <w:semiHidden/>
    <w:rsid w:val="00CB3FDD"/>
    <w:rPr>
      <w:sz w:val="16"/>
      <w:szCs w:val="16"/>
    </w:rPr>
  </w:style>
  <w:style w:type="paragraph" w:styleId="Blocktext">
    <w:name w:val="Block Text"/>
    <w:aliases w:val="Blaue Box"/>
    <w:basedOn w:val="Standard"/>
    <w:next w:val="Textkrper"/>
    <w:uiPriority w:val="11"/>
    <w:semiHidden/>
    <w:unhideWhenUsed/>
    <w:qFormat/>
    <w:rsid w:val="00CB3FDD"/>
    <w:pPr>
      <w:pBdr>
        <w:top w:val="single" w:sz="2" w:space="10" w:color="auto"/>
        <w:left w:val="single" w:sz="2" w:space="10" w:color="auto"/>
        <w:bottom w:val="single" w:sz="2" w:space="10" w:color="auto"/>
        <w:right w:val="single" w:sz="2" w:space="10" w:color="auto"/>
      </w:pBdr>
      <w:spacing w:before="240" w:after="480" w:line="240" w:lineRule="auto"/>
      <w:ind w:left="1361" w:right="1361"/>
    </w:pPr>
    <w:rPr>
      <w:rFonts w:eastAsiaTheme="minorEastAsia"/>
      <w:i/>
      <w:iCs/>
      <w:color w:val="144766"/>
      <w:sz w:val="24"/>
      <w:szCs w:val="22"/>
    </w:rPr>
  </w:style>
  <w:style w:type="character" w:customStyle="1" w:styleId="DokumentstrukturZchn">
    <w:name w:val="Dokumentstruktur Zchn"/>
    <w:aliases w:val="Klein Zchn"/>
    <w:basedOn w:val="Absatz-Standardschriftart"/>
    <w:link w:val="Dokumentstruktur"/>
    <w:uiPriority w:val="15"/>
    <w:semiHidden/>
    <w:locked/>
    <w:rsid w:val="00CB3FDD"/>
    <w:rPr>
      <w:rFonts w:ascii="Segoe UI" w:hAnsi="Segoe UI" w:cs="Segoe UI"/>
      <w:sz w:val="20"/>
      <w:szCs w:val="16"/>
    </w:rPr>
  </w:style>
  <w:style w:type="paragraph" w:styleId="Dokumentstruktur">
    <w:name w:val="Document Map"/>
    <w:aliases w:val="Klein"/>
    <w:basedOn w:val="Standard"/>
    <w:next w:val="Textkrper"/>
    <w:link w:val="DokumentstrukturZchn"/>
    <w:uiPriority w:val="15"/>
    <w:semiHidden/>
    <w:unhideWhenUsed/>
    <w:qFormat/>
    <w:rsid w:val="00CB3FDD"/>
    <w:pPr>
      <w:spacing w:before="240" w:after="240" w:line="240" w:lineRule="auto"/>
    </w:pPr>
    <w:rPr>
      <w:rFonts w:ascii="Segoe UI" w:hAnsi="Segoe UI" w:cs="Segoe UI"/>
      <w:sz w:val="20"/>
      <w:szCs w:val="16"/>
    </w:rPr>
  </w:style>
  <w:style w:type="character" w:customStyle="1" w:styleId="DokumentstrukturZchn1">
    <w:name w:val="Dokumentstruktur Zchn1"/>
    <w:aliases w:val="Klein Zchn1"/>
    <w:basedOn w:val="Absatz-Standardschriftart"/>
    <w:uiPriority w:val="15"/>
    <w:semiHidden/>
    <w:rsid w:val="00CB3FDD"/>
    <w:rPr>
      <w:rFonts w:ascii="Segoe UI" w:hAnsi="Segoe UI" w:cs="Segoe UI"/>
      <w:sz w:val="16"/>
      <w:szCs w:val="16"/>
    </w:rPr>
  </w:style>
  <w:style w:type="character" w:customStyle="1" w:styleId="NurTextZchn1">
    <w:name w:val="Nur Text Zchn1"/>
    <w:aliases w:val="Klein Kursiv Einzug Zchn1"/>
    <w:basedOn w:val="Absatz-Standardschriftart"/>
    <w:uiPriority w:val="16"/>
    <w:semiHidden/>
    <w:rsid w:val="00CB3FDD"/>
    <w:rPr>
      <w:rFonts w:ascii="Consolas" w:hAnsi="Consolas" w:cs="Arial"/>
      <w:sz w:val="21"/>
      <w:szCs w:val="21"/>
    </w:rPr>
  </w:style>
  <w:style w:type="paragraph" w:styleId="E-Mail-Signatur">
    <w:name w:val="E-mail Signature"/>
    <w:basedOn w:val="Standard"/>
    <w:link w:val="E-Mail-SignaturZchn"/>
    <w:uiPriority w:val="98"/>
    <w:semiHidden/>
    <w:unhideWhenUsed/>
    <w:rsid w:val="00CB3FDD"/>
    <w:pPr>
      <w:spacing w:line="240" w:lineRule="auto"/>
    </w:pPr>
    <w:rPr>
      <w:rFonts w:cs="Arial"/>
      <w:sz w:val="24"/>
      <w:szCs w:val="22"/>
    </w:rPr>
  </w:style>
  <w:style w:type="character" w:customStyle="1" w:styleId="E-Mail-SignaturZchn">
    <w:name w:val="E-Mail-Signatur Zchn"/>
    <w:basedOn w:val="Absatz-Standardschriftart"/>
    <w:link w:val="E-Mail-Signatur"/>
    <w:uiPriority w:val="98"/>
    <w:semiHidden/>
    <w:rsid w:val="00CB3FDD"/>
    <w:rPr>
      <w:rFonts w:cs="Arial"/>
      <w:sz w:val="24"/>
      <w:szCs w:val="22"/>
    </w:rPr>
  </w:style>
  <w:style w:type="paragraph" w:styleId="Kommentarthema">
    <w:name w:val="annotation subject"/>
    <w:basedOn w:val="Kommentartext"/>
    <w:next w:val="Kommentartext"/>
    <w:link w:val="KommentarthemaZchn"/>
    <w:uiPriority w:val="99"/>
    <w:semiHidden/>
    <w:unhideWhenUsed/>
    <w:rsid w:val="00CB3FDD"/>
    <w:rPr>
      <w:b/>
      <w:bCs/>
    </w:rPr>
  </w:style>
  <w:style w:type="character" w:customStyle="1" w:styleId="KommentarthemaZchn">
    <w:name w:val="Kommentarthema Zchn"/>
    <w:basedOn w:val="KommentartextZchn"/>
    <w:link w:val="Kommentarthema"/>
    <w:uiPriority w:val="99"/>
    <w:semiHidden/>
    <w:rsid w:val="00CB3FDD"/>
    <w:rPr>
      <w:rFonts w:cs="Arial"/>
      <w:b/>
      <w:bCs/>
      <w:sz w:val="20"/>
      <w:szCs w:val="20"/>
    </w:rPr>
  </w:style>
  <w:style w:type="character" w:customStyle="1" w:styleId="SprechblasentextZchn">
    <w:name w:val="Sprechblasentext Zchn"/>
    <w:aliases w:val="Box Zchn"/>
    <w:basedOn w:val="Absatz-Standardschriftart"/>
    <w:link w:val="Sprechblasentext"/>
    <w:uiPriority w:val="12"/>
    <w:semiHidden/>
    <w:locked/>
    <w:rsid w:val="00CB3FDD"/>
    <w:rPr>
      <w:rFonts w:ascii="Segoe UI" w:hAnsi="Segoe UI" w:cs="Segoe UI"/>
      <w:sz w:val="24"/>
      <w:szCs w:val="18"/>
      <w:shd w:val="clear" w:color="auto" w:fill="144766"/>
    </w:rPr>
  </w:style>
  <w:style w:type="paragraph" w:styleId="Sprechblasentext">
    <w:name w:val="Balloon Text"/>
    <w:aliases w:val="Box"/>
    <w:basedOn w:val="Standard"/>
    <w:next w:val="Textkrper"/>
    <w:link w:val="SprechblasentextZchn"/>
    <w:uiPriority w:val="12"/>
    <w:semiHidden/>
    <w:unhideWhenUsed/>
    <w:qFormat/>
    <w:rsid w:val="00CB3FDD"/>
    <w:pPr>
      <w:keepLines/>
      <w:shd w:val="clear" w:color="auto" w:fill="144766"/>
      <w:suppressAutoHyphens/>
      <w:spacing w:before="240" w:after="240" w:line="240" w:lineRule="auto"/>
      <w:ind w:left="680" w:right="567"/>
      <w:textboxTightWrap w:val="allLines"/>
    </w:pPr>
    <w:rPr>
      <w:rFonts w:ascii="Segoe UI" w:hAnsi="Segoe UI" w:cs="Segoe UI"/>
      <w:sz w:val="24"/>
      <w:szCs w:val="18"/>
    </w:rPr>
  </w:style>
  <w:style w:type="character" w:customStyle="1" w:styleId="SprechblasentextZchn1">
    <w:name w:val="Sprechblasentext Zchn1"/>
    <w:aliases w:val="Box Zchn1"/>
    <w:basedOn w:val="Absatz-Standardschriftart"/>
    <w:uiPriority w:val="12"/>
    <w:semiHidden/>
    <w:rsid w:val="00CB3FDD"/>
    <w:rPr>
      <w:rFonts w:ascii="Segoe UI" w:hAnsi="Segoe UI" w:cs="Segoe UI"/>
      <w:sz w:val="18"/>
      <w:szCs w:val="18"/>
    </w:rPr>
  </w:style>
  <w:style w:type="character" w:customStyle="1" w:styleId="KeinLeerraumZchn">
    <w:name w:val="Kein Leerraum Zchn"/>
    <w:basedOn w:val="Absatz-Standardschriftart"/>
    <w:link w:val="KeinLeerraum"/>
    <w:uiPriority w:val="99"/>
    <w:locked/>
    <w:rsid w:val="00CB3FDD"/>
  </w:style>
  <w:style w:type="paragraph" w:styleId="KeinLeerraum">
    <w:name w:val="No Spacing"/>
    <w:link w:val="KeinLeerraumZchn"/>
    <w:uiPriority w:val="99"/>
    <w:qFormat/>
    <w:rsid w:val="00CB3FDD"/>
    <w:pPr>
      <w:spacing w:after="120" w:line="240" w:lineRule="auto"/>
    </w:pPr>
  </w:style>
  <w:style w:type="paragraph" w:styleId="Zitat">
    <w:name w:val="Quote"/>
    <w:basedOn w:val="Standard"/>
    <w:next w:val="Textkrper"/>
    <w:link w:val="ZitatZchn"/>
    <w:uiPriority w:val="14"/>
    <w:qFormat/>
    <w:rsid w:val="00CB3FDD"/>
    <w:pPr>
      <w:spacing w:before="200" w:after="160" w:line="240" w:lineRule="auto"/>
      <w:ind w:left="1021" w:right="1021"/>
      <w:jc w:val="center"/>
    </w:pPr>
    <w:rPr>
      <w:rFonts w:cs="Arial"/>
      <w:i/>
      <w:iCs/>
      <w:color w:val="000000" w:themeColor="text1"/>
      <w:sz w:val="24"/>
      <w:szCs w:val="22"/>
    </w:rPr>
  </w:style>
  <w:style w:type="character" w:customStyle="1" w:styleId="ZitatZchn">
    <w:name w:val="Zitat Zchn"/>
    <w:basedOn w:val="Absatz-Standardschriftart"/>
    <w:link w:val="Zitat"/>
    <w:uiPriority w:val="14"/>
    <w:rsid w:val="00CB3FDD"/>
    <w:rPr>
      <w:rFonts w:cs="Arial"/>
      <w:i/>
      <w:iCs/>
      <w:color w:val="000000" w:themeColor="text1"/>
      <w:sz w:val="24"/>
      <w:szCs w:val="22"/>
    </w:rPr>
  </w:style>
  <w:style w:type="character" w:customStyle="1" w:styleId="IntensivesZitatZchn">
    <w:name w:val="Intensives Zitat Zchn"/>
    <w:aliases w:val="Position Zchn"/>
    <w:basedOn w:val="Absatz-Standardschriftart"/>
    <w:link w:val="IntensivesZitat"/>
    <w:uiPriority w:val="13"/>
    <w:locked/>
    <w:rsid w:val="00CB3FDD"/>
    <w:rPr>
      <w:b/>
      <w:iCs/>
      <w:noProof/>
      <w:color w:val="B0050D"/>
      <w:sz w:val="24"/>
    </w:rPr>
  </w:style>
  <w:style w:type="paragraph" w:styleId="IntensivesZitat">
    <w:name w:val="Intense Quote"/>
    <w:aliases w:val="Position"/>
    <w:basedOn w:val="Standard"/>
    <w:next w:val="Textkrper"/>
    <w:link w:val="IntensivesZitatZchn"/>
    <w:uiPriority w:val="13"/>
    <w:qFormat/>
    <w:rsid w:val="00CB3FDD"/>
    <w:pPr>
      <w:tabs>
        <w:tab w:val="left" w:pos="426"/>
      </w:tabs>
      <w:spacing w:before="240" w:after="240" w:line="240" w:lineRule="auto"/>
      <w:ind w:left="426" w:right="-2"/>
    </w:pPr>
    <w:rPr>
      <w:b/>
      <w:iCs/>
      <w:noProof/>
      <w:color w:val="B0050D"/>
      <w:sz w:val="24"/>
    </w:rPr>
  </w:style>
  <w:style w:type="character" w:customStyle="1" w:styleId="IntensivesZitatZchn1">
    <w:name w:val="Intensives Zitat Zchn1"/>
    <w:aliases w:val="Position Zchn1"/>
    <w:basedOn w:val="Absatz-Standardschriftart"/>
    <w:uiPriority w:val="13"/>
    <w:rsid w:val="00CB3FDD"/>
    <w:rPr>
      <w:i/>
      <w:iCs/>
      <w:color w:val="B5003C" w:themeColor="accent1"/>
      <w:sz w:val="22"/>
    </w:rPr>
  </w:style>
  <w:style w:type="paragraph" w:styleId="Literaturverzeichnis">
    <w:name w:val="Bibliography"/>
    <w:basedOn w:val="Standard"/>
    <w:next w:val="Standard"/>
    <w:uiPriority w:val="99"/>
    <w:semiHidden/>
    <w:unhideWhenUsed/>
    <w:rsid w:val="00CB3FDD"/>
    <w:pPr>
      <w:spacing w:before="240" w:after="120" w:line="240" w:lineRule="auto"/>
    </w:pPr>
    <w:rPr>
      <w:rFonts w:cs="Arial"/>
      <w:b/>
      <w:color w:val="C00000"/>
      <w:sz w:val="24"/>
      <w:szCs w:val="22"/>
    </w:rPr>
  </w:style>
  <w:style w:type="paragraph" w:styleId="Inhaltsverzeichnisberschrift">
    <w:name w:val="TOC Heading"/>
    <w:basedOn w:val="berschrift1"/>
    <w:next w:val="Textkrper"/>
    <w:uiPriority w:val="39"/>
    <w:unhideWhenUsed/>
    <w:qFormat/>
    <w:rsid w:val="00CB3FDD"/>
    <w:pPr>
      <w:suppressAutoHyphens/>
      <w:spacing w:before="360" w:after="240" w:line="276" w:lineRule="auto"/>
      <w:outlineLvl w:val="1"/>
    </w:pPr>
    <w:rPr>
      <w:sz w:val="24"/>
      <w:szCs w:val="28"/>
      <w:lang w:eastAsia="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autoRedefine/>
    <w:qFormat/>
    <w:rsid w:val="00CB3FDD"/>
    <w:pPr>
      <w:spacing w:before="120" w:after="160" w:line="240" w:lineRule="exact"/>
      <w:jc w:val="both"/>
    </w:pPr>
    <w:rPr>
      <w:sz w:val="17"/>
      <w:vertAlign w:val="superscript"/>
    </w:rPr>
  </w:style>
  <w:style w:type="paragraph" w:customStyle="1" w:styleId="Zwischentitel">
    <w:name w:val="Zwischentitel"/>
    <w:basedOn w:val="Standard"/>
    <w:next w:val="Standard"/>
    <w:qFormat/>
    <w:rsid w:val="00CB3FDD"/>
    <w:pPr>
      <w:numPr>
        <w:numId w:val="37"/>
      </w:numPr>
      <w:spacing w:before="360" w:after="240" w:line="240" w:lineRule="auto"/>
    </w:pPr>
    <w:rPr>
      <w:rFonts w:ascii="Times New Roman" w:eastAsia="MS Mincho" w:hAnsi="Times New Roman" w:cs="Times New Roman"/>
      <w:szCs w:val="24"/>
      <w:lang w:eastAsia="ja-JP"/>
    </w:rPr>
  </w:style>
  <w:style w:type="character" w:customStyle="1" w:styleId="FussnoteZchn">
    <w:name w:val="Fussnote Zchn"/>
    <w:basedOn w:val="Absatz-Standardschriftart"/>
    <w:link w:val="Fussnote"/>
    <w:uiPriority w:val="99"/>
    <w:locked/>
    <w:rsid w:val="00CB3FDD"/>
    <w:rPr>
      <w:rFonts w:ascii="Cambria" w:eastAsia="Cambria" w:hAnsi="Cambria"/>
      <w:sz w:val="18"/>
    </w:rPr>
  </w:style>
  <w:style w:type="paragraph" w:customStyle="1" w:styleId="Fussnote">
    <w:name w:val="Fussnote"/>
    <w:basedOn w:val="Standard"/>
    <w:next w:val="Funotentext"/>
    <w:link w:val="FussnoteZchn"/>
    <w:uiPriority w:val="99"/>
    <w:qFormat/>
    <w:rsid w:val="00CB3FDD"/>
    <w:pPr>
      <w:spacing w:before="40" w:after="40" w:line="240" w:lineRule="auto"/>
    </w:pPr>
    <w:rPr>
      <w:rFonts w:ascii="Cambria" w:eastAsia="Cambria" w:hAnsi="Cambria"/>
      <w:sz w:val="18"/>
    </w:rPr>
  </w:style>
  <w:style w:type="character" w:styleId="Kommentarzeichen">
    <w:name w:val="annotation reference"/>
    <w:aliases w:val="Blau"/>
    <w:basedOn w:val="Absatz-Standardschriftart"/>
    <w:uiPriority w:val="99"/>
    <w:semiHidden/>
    <w:unhideWhenUsed/>
    <w:qFormat/>
    <w:rsid w:val="00CB3FDD"/>
    <w:rPr>
      <w:caps w:val="0"/>
      <w:smallCaps w:val="0"/>
      <w:strike w:val="0"/>
      <w:dstrike w:val="0"/>
      <w:vanish w:val="0"/>
      <w:webHidden w:val="0"/>
      <w:color w:val="144766"/>
      <w:szCs w:val="16"/>
      <w:u w:val="none" w:color="144766"/>
      <w:effect w:val="none"/>
      <w:vertAlign w:val="baseline"/>
      <w:specVanish w:val="0"/>
    </w:rPr>
  </w:style>
  <w:style w:type="character" w:styleId="Endnotenzeichen">
    <w:name w:val="endnote reference"/>
    <w:basedOn w:val="Absatz-Standardschriftart"/>
    <w:uiPriority w:val="96"/>
    <w:semiHidden/>
    <w:unhideWhenUsed/>
    <w:rsid w:val="00CB3FDD"/>
    <w:rPr>
      <w:vertAlign w:val="superscript"/>
    </w:rPr>
  </w:style>
  <w:style w:type="character" w:styleId="Platzhaltertext">
    <w:name w:val="Placeholder Text"/>
    <w:basedOn w:val="Absatz-Standardschriftart"/>
    <w:uiPriority w:val="99"/>
    <w:semiHidden/>
    <w:rsid w:val="00CB3FDD"/>
    <w:rPr>
      <w:color w:val="808080"/>
    </w:rPr>
  </w:style>
  <w:style w:type="character" w:styleId="IntensiverVerweis">
    <w:name w:val="Intense Reference"/>
    <w:aliases w:val="Blau Fett"/>
    <w:basedOn w:val="Absatz-Standardschriftart"/>
    <w:uiPriority w:val="6"/>
    <w:qFormat/>
    <w:rsid w:val="00CB3FDD"/>
    <w:rPr>
      <w:b/>
      <w:bCs/>
      <w:caps w:val="0"/>
      <w:smallCaps w:val="0"/>
      <w:color w:val="144766"/>
      <w:spacing w:val="5"/>
    </w:rPr>
  </w:style>
  <w:style w:type="character" w:styleId="Buchtitel">
    <w:name w:val="Book Title"/>
    <w:aliases w:val="Blauer HG"/>
    <w:basedOn w:val="Absatz-Standardschriftart"/>
    <w:uiPriority w:val="10"/>
    <w:qFormat/>
    <w:rsid w:val="00CB3FDD"/>
    <w:rPr>
      <w:b/>
      <w:bCs/>
      <w:i w:val="0"/>
      <w:iCs/>
      <w:spacing w:val="5"/>
      <w:bdr w:val="none" w:sz="0" w:space="0" w:color="auto" w:frame="1"/>
      <w:shd w:val="clear" w:color="auto" w:fill="144766"/>
    </w:rPr>
  </w:style>
  <w:style w:type="character" w:customStyle="1" w:styleId="artref">
    <w:name w:val="artref"/>
    <w:basedOn w:val="Absatz-Standardschriftart"/>
    <w:rsid w:val="00CB3FDD"/>
  </w:style>
  <w:style w:type="character" w:customStyle="1" w:styleId="markedcontent">
    <w:name w:val="markedcontent"/>
    <w:basedOn w:val="Absatz-Standardschriftart"/>
    <w:rsid w:val="00CB3FDD"/>
  </w:style>
  <w:style w:type="character" w:customStyle="1" w:styleId="Funotenanker">
    <w:name w:val="Fußnotenanker"/>
    <w:rsid w:val="00CB3FDD"/>
    <w:rPr>
      <w:vertAlign w:val="superscript"/>
    </w:rPr>
  </w:style>
  <w:style w:type="character" w:customStyle="1" w:styleId="Internetverknpfung">
    <w:name w:val="Internetverknüpfung"/>
    <w:basedOn w:val="Absatz-Standardschriftart"/>
    <w:uiPriority w:val="99"/>
    <w:rsid w:val="00CB3FDD"/>
    <w:rPr>
      <w:color w:val="auto"/>
      <w:u w:val="single"/>
    </w:rPr>
  </w:style>
  <w:style w:type="table" w:styleId="EinfacheTabelle1">
    <w:name w:val="Plain Table 1"/>
    <w:basedOn w:val="NormaleTabelle"/>
    <w:uiPriority w:val="41"/>
    <w:rsid w:val="00CB3FDD"/>
    <w:pPr>
      <w:spacing w:line="240" w:lineRule="auto"/>
    </w:pPr>
    <w:rPr>
      <w:rFonts w:cs="Arial"/>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B3FDD"/>
    <w:pPr>
      <w:spacing w:line="240" w:lineRule="auto"/>
    </w:pPr>
    <w:rPr>
      <w:rFonts w:cs="Arial"/>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B3FDD"/>
    <w:pPr>
      <w:spacing w:line="240" w:lineRule="auto"/>
    </w:pPr>
    <w:rPr>
      <w:rFonts w:cs="Arial"/>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B3FDD"/>
    <w:pPr>
      <w:spacing w:line="240" w:lineRule="auto"/>
    </w:pPr>
    <w:rPr>
      <w:rFonts w:cs="Arial"/>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aliases w:val="Tabelle IH"/>
    <w:basedOn w:val="NormaleTabelle"/>
    <w:uiPriority w:val="45"/>
    <w:rsid w:val="00CB3FDD"/>
    <w:pPr>
      <w:spacing w:line="240" w:lineRule="auto"/>
      <w:jc w:val="right"/>
    </w:pPr>
    <w:rPr>
      <w:rFonts w:cs="Arial"/>
      <w:sz w:val="22"/>
      <w:szCs w:val="22"/>
    </w:rPr>
    <w:tblPr>
      <w:tblStyleRowBandSize w:val="1"/>
      <w:tblStyleColBandSize w:val="1"/>
      <w:tblInd w:w="0" w:type="nil"/>
    </w:tblPr>
    <w:tcPr>
      <w:vAlign w:val="center"/>
    </w:tcPr>
    <w:tblStylePr w:type="firstRow">
      <w:rPr>
        <w:rFonts w:ascii="Arial" w:eastAsiaTheme="majorEastAsia" w:hAnsi="Arial" w:cstheme="majorBidi" w:hint="default"/>
        <w:i w:val="0"/>
        <w:iCs/>
        <w:sz w:val="22"/>
        <w:szCs w:val="22"/>
      </w:rPr>
      <w:tblPr/>
      <w:tcPr>
        <w:shd w:val="clear" w:color="auto" w:fill="144766"/>
      </w:tcPr>
    </w:tblStylePr>
    <w:tblStylePr w:type="lastRow">
      <w:pPr>
        <w:jc w:val="right"/>
      </w:pPr>
      <w:rPr>
        <w:rFonts w:ascii="Arial" w:eastAsiaTheme="majorEastAsia" w:hAnsi="Arial" w:cstheme="majorBidi" w:hint="default"/>
        <w:i w:val="0"/>
        <w:iCs/>
        <w:sz w:val="22"/>
        <w:szCs w:val="22"/>
      </w:rPr>
      <w:tblPr/>
      <w:tcPr>
        <w:shd w:val="clear" w:color="auto" w:fill="B0050D"/>
        <w:vAlign w:val="center"/>
      </w:tcPr>
    </w:tblStylePr>
    <w:tblStylePr w:type="firstCol">
      <w:pPr>
        <w:jc w:val="left"/>
      </w:pPr>
      <w:rPr>
        <w:rFonts w:ascii="Arial" w:eastAsiaTheme="majorEastAsia" w:hAnsi="Arial" w:cstheme="majorBidi" w:hint="default"/>
        <w:i/>
        <w:iCs/>
        <w:sz w:val="22"/>
        <w:szCs w:val="22"/>
      </w:rPr>
      <w:tblPr/>
      <w:tcPr>
        <w:tcBorders>
          <w:right w:val="single" w:sz="4" w:space="0" w:color="7F7F7F" w:themeColor="text1" w:themeTint="80"/>
        </w:tcBorders>
        <w:shd w:val="clear" w:color="auto" w:fill="FFFFFF" w:themeFill="background1"/>
      </w:tcPr>
    </w:tblStylePr>
    <w:tblStylePr w:type="lastCol">
      <w:rPr>
        <w:rFonts w:ascii="Arial" w:eastAsiaTheme="majorEastAsia" w:hAnsi="Arial" w:cstheme="majorBidi" w:hint="default"/>
        <w:i w:val="0"/>
        <w:iCs/>
        <w:sz w:val="22"/>
        <w:szCs w:val="22"/>
      </w:rPr>
      <w:tblPr/>
      <w:tcPr>
        <w:shd w:val="clear" w:color="auto" w:fill="B0050D"/>
      </w:tcPr>
    </w:tblStylePr>
    <w:tblStylePr w:type="band1Vert">
      <w:tblPr/>
      <w:tcPr>
        <w:shd w:val="clear" w:color="auto" w:fill="F2F2F2" w:themeFill="background1" w:themeFillShade="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pPr>
        <w:jc w:val="left"/>
      </w:pPr>
      <w:rPr>
        <w:i/>
      </w:rPr>
      <w:tblPr/>
      <w:tcPr>
        <w:tcBorders>
          <w:right w:val="nil"/>
        </w:tcBorders>
        <w:vAlign w:val="top"/>
      </w:tcPr>
    </w:tblStylePr>
  </w:style>
  <w:style w:type="table" w:styleId="TabellemithellemGitternetz">
    <w:name w:val="Grid Table Light"/>
    <w:basedOn w:val="NormaleTabelle"/>
    <w:uiPriority w:val="40"/>
    <w:rsid w:val="00CB3FDD"/>
    <w:pPr>
      <w:spacing w:line="240" w:lineRule="auto"/>
    </w:pPr>
    <w:rPr>
      <w:rFonts w:cs="Arial"/>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1">
    <w:name w:val="Tabellenraster1"/>
    <w:basedOn w:val="NormaleTabelle"/>
    <w:uiPriority w:val="39"/>
    <w:rsid w:val="00CB3FDD"/>
    <w:pPr>
      <w:spacing w:line="240" w:lineRule="auto"/>
    </w:pPr>
    <w:rPr>
      <w:rFonts w:eastAsia="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J:\Data\Direktion\16%20Public%20Affairs\3_Vernehmlassungen\National\2024_Behig%20Teilrevision\Inclusion%20Handicap_Vernehmlassungsantwort_BehiG_Revision_19.3.24_MIOs.docx" TargetMode="External"/><Relationship Id="rId21" Type="http://schemas.openxmlformats.org/officeDocument/2006/relationships/hyperlink" Target="file:///J:\Data\Direktion\16%20Public%20Affairs\3_Vernehmlassungen\National\2024_Behig%20Teilrevision\Inclusion%20Handicap_Vernehmlassungsantwort_BehiG_Revision_19.3.24_MIOs.docx" TargetMode="External"/><Relationship Id="rId42" Type="http://schemas.openxmlformats.org/officeDocument/2006/relationships/hyperlink" Target="file:///J:\Data\Direktion\16%20Public%20Affairs\3_Vernehmlassungen\National\2024_Behig%20Teilrevision\Inclusion%20Handicap_Vernehmlassungsantwort_BehiG_Revision_19.3.24_MIOs.docx" TargetMode="External"/><Relationship Id="rId47" Type="http://schemas.openxmlformats.org/officeDocument/2006/relationships/hyperlink" Target="file:///J:\Data\Direktion\16%20Public%20Affairs\3_Vernehmlassungen\National\2024_Behig%20Teilrevision\Inclusion%20Handicap_Vernehmlassungsantwort_BehiG_Revision_19.3.24_MIOs.docx" TargetMode="External"/><Relationship Id="rId63" Type="http://schemas.openxmlformats.org/officeDocument/2006/relationships/hyperlink" Target="file:///J:\Data\Direktion\16%20Public%20Affairs\3_Vernehmlassungen\National\2024_Behig%20Teilrevision\Inclusion%20Handicap_Vernehmlassungsantwort_BehiG_Revision_19.3.24_MIOs.docx" TargetMode="External"/><Relationship Id="rId68" Type="http://schemas.openxmlformats.org/officeDocument/2006/relationships/footer" Target="footer1.xml"/><Relationship Id="rId7" Type="http://schemas.openxmlformats.org/officeDocument/2006/relationships/hyperlink" Target="file:///J:\Data\Direktion\16%20Public%20Affairs\3_Vernehmlassungen\National\2024_Behig%20Teilrevision\Inclusion%20Handicap_Vernehmlassungsantwort_BehiG_Revision_19.3.24_MIOs.doc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J:\Data\Direktion\16%20Public%20Affairs\3_Vernehmlassungen\National\2024_Behig%20Teilrevision\Inclusion%20Handicap_Vernehmlassungsantwort_BehiG_Revision_19.3.24_MIOs.docx" TargetMode="External"/><Relationship Id="rId29" Type="http://schemas.openxmlformats.org/officeDocument/2006/relationships/hyperlink" Target="file:///J:\Data\Direktion\16%20Public%20Affairs\3_Vernehmlassungen\National\2024_Behig%20Teilrevision\Inclusion%20Handicap_Vernehmlassungsantwort_BehiG_Revision_19.3.24_MIOs.docx" TargetMode="External"/><Relationship Id="rId11" Type="http://schemas.openxmlformats.org/officeDocument/2006/relationships/hyperlink" Target="file:///J:\Data\Direktion\16%20Public%20Affairs\3_Vernehmlassungen\National\2024_Behig%20Teilrevision\Inclusion%20Handicap_Vernehmlassungsantwort_BehiG_Revision_19.3.24_MIOs.docx" TargetMode="External"/><Relationship Id="rId24" Type="http://schemas.openxmlformats.org/officeDocument/2006/relationships/hyperlink" Target="file:///J:\Data\Direktion\16%20Public%20Affairs\3_Vernehmlassungen\National\2024_Behig%20Teilrevision\Inclusion%20Handicap_Vernehmlassungsantwort_BehiG_Revision_19.3.24_MIOs.docx" TargetMode="External"/><Relationship Id="rId32" Type="http://schemas.openxmlformats.org/officeDocument/2006/relationships/hyperlink" Target="file:///J:\Data\Direktion\16%20Public%20Affairs\3_Vernehmlassungen\National\2024_Behig%20Teilrevision\Inclusion%20Handicap_Vernehmlassungsantwort_BehiG_Revision_19.3.24_MIOs.docx" TargetMode="External"/><Relationship Id="rId37" Type="http://schemas.openxmlformats.org/officeDocument/2006/relationships/hyperlink" Target="file:///J:\Data\Direktion\16%20Public%20Affairs\3_Vernehmlassungen\National\2024_Behig%20Teilrevision\Inclusion%20Handicap_Vernehmlassungsantwort_BehiG_Revision_19.3.24_MIOs.docx" TargetMode="External"/><Relationship Id="rId40" Type="http://schemas.openxmlformats.org/officeDocument/2006/relationships/hyperlink" Target="file:///J:\Data\Direktion\16%20Public%20Affairs\3_Vernehmlassungen\National\2024_Behig%20Teilrevision\Inclusion%20Handicap_Vernehmlassungsantwort_BehiG_Revision_19.3.24_MIOs.docx" TargetMode="External"/><Relationship Id="rId45" Type="http://schemas.openxmlformats.org/officeDocument/2006/relationships/hyperlink" Target="file:///J:\Data\Direktion\16%20Public%20Affairs\3_Vernehmlassungen\National\2024_Behig%20Teilrevision\Inclusion%20Handicap_Vernehmlassungsantwort_BehiG_Revision_19.3.24_MIOs.docx" TargetMode="External"/><Relationship Id="rId53" Type="http://schemas.openxmlformats.org/officeDocument/2006/relationships/hyperlink" Target="file:///J:\Data\Direktion\16%20Public%20Affairs\3_Vernehmlassungen\National\2024_Behig%20Teilrevision\Inclusion%20Handicap_Vernehmlassungsantwort_BehiG_Revision_19.3.24_MIOs.docx" TargetMode="External"/><Relationship Id="rId58" Type="http://schemas.openxmlformats.org/officeDocument/2006/relationships/hyperlink" Target="file:///J:\Data\Direktion\16%20Public%20Affairs\3_Vernehmlassungen\National\2024_Behig%20Teilrevision\Inclusion%20Handicap_Vernehmlassungsantwort_BehiG_Revision_19.3.24_MIOs.docx" TargetMode="External"/><Relationship Id="rId66" Type="http://schemas.openxmlformats.org/officeDocument/2006/relationships/hyperlink" Target="file:///J:\Data\Direktion\16%20Public%20Affairs\3_Vernehmlassungen\National\2024_Behig%20Teilrevision\Inclusion%20Handicap_Vernehmlassungsantwort_BehiG_Revision_19.3.24_MIOs.docx" TargetMode="External"/><Relationship Id="rId5" Type="http://schemas.openxmlformats.org/officeDocument/2006/relationships/footnotes" Target="footnotes.xml"/><Relationship Id="rId61" Type="http://schemas.openxmlformats.org/officeDocument/2006/relationships/hyperlink" Target="file:///J:\Data\Direktion\16%20Public%20Affairs\3_Vernehmlassungen\National\2024_Behig%20Teilrevision\Inclusion%20Handicap_Vernehmlassungsantwort_BehiG_Revision_19.3.24_MIOs.docx" TargetMode="External"/><Relationship Id="rId19" Type="http://schemas.openxmlformats.org/officeDocument/2006/relationships/hyperlink" Target="file:///J:\Data\Direktion\16%20Public%20Affairs\3_Vernehmlassungen\National\2024_Behig%20Teilrevision\Inclusion%20Handicap_Vernehmlassungsantwort_BehiG_Revision_19.3.24_MIOs.docx" TargetMode="External"/><Relationship Id="rId14" Type="http://schemas.openxmlformats.org/officeDocument/2006/relationships/hyperlink" Target="file:///J:\Data\Direktion\16%20Public%20Affairs\3_Vernehmlassungen\National\2024_Behig%20Teilrevision\Inclusion%20Handicap_Vernehmlassungsantwort_BehiG_Revision_19.3.24_MIOs.docx" TargetMode="External"/><Relationship Id="rId22" Type="http://schemas.openxmlformats.org/officeDocument/2006/relationships/hyperlink" Target="file:///J:\Data\Direktion\16%20Public%20Affairs\3_Vernehmlassungen\National\2024_Behig%20Teilrevision\Inclusion%20Handicap_Vernehmlassungsantwort_BehiG_Revision_19.3.24_MIOs.docx" TargetMode="External"/><Relationship Id="rId27" Type="http://schemas.openxmlformats.org/officeDocument/2006/relationships/hyperlink" Target="file:///J:\Data\Direktion\16%20Public%20Affairs\3_Vernehmlassungen\National\2024_Behig%20Teilrevision\Inclusion%20Handicap_Vernehmlassungsantwort_BehiG_Revision_19.3.24_MIOs.docx" TargetMode="External"/><Relationship Id="rId30" Type="http://schemas.openxmlformats.org/officeDocument/2006/relationships/hyperlink" Target="file:///J:\Data\Direktion\16%20Public%20Affairs\3_Vernehmlassungen\National\2024_Behig%20Teilrevision\Inclusion%20Handicap_Vernehmlassungsantwort_BehiG_Revision_19.3.24_MIOs.docx" TargetMode="External"/><Relationship Id="rId35" Type="http://schemas.openxmlformats.org/officeDocument/2006/relationships/hyperlink" Target="file:///J:\Data\Direktion\16%20Public%20Affairs\3_Vernehmlassungen\National\2024_Behig%20Teilrevision\Inclusion%20Handicap_Vernehmlassungsantwort_BehiG_Revision_19.3.24_MIOs.docx" TargetMode="External"/><Relationship Id="rId43" Type="http://schemas.openxmlformats.org/officeDocument/2006/relationships/hyperlink" Target="file:///J:\Data\Direktion\16%20Public%20Affairs\3_Vernehmlassungen\National\2024_Behig%20Teilrevision\Inclusion%20Handicap_Vernehmlassungsantwort_BehiG_Revision_19.3.24_MIOs.docx" TargetMode="External"/><Relationship Id="rId48" Type="http://schemas.openxmlformats.org/officeDocument/2006/relationships/hyperlink" Target="file:///J:\Data\Direktion\16%20Public%20Affairs\3_Vernehmlassungen\National\2024_Behig%20Teilrevision\Inclusion%20Handicap_Vernehmlassungsantwort_BehiG_Revision_19.3.24_MIOs.docx" TargetMode="External"/><Relationship Id="rId56" Type="http://schemas.openxmlformats.org/officeDocument/2006/relationships/hyperlink" Target="file:///J:\Data\Direktion\16%20Public%20Affairs\3_Vernehmlassungen\National\2024_Behig%20Teilrevision\Inclusion%20Handicap_Vernehmlassungsantwort_BehiG_Revision_19.3.24_MIOs.docx" TargetMode="External"/><Relationship Id="rId64" Type="http://schemas.openxmlformats.org/officeDocument/2006/relationships/hyperlink" Target="file:///J:\Data\Direktion\16%20Public%20Affairs\3_Vernehmlassungen\National\2024_Behig%20Teilrevision\Inclusion%20Handicap_Vernehmlassungsantwort_BehiG_Revision_19.3.24_MIOs.docx" TargetMode="External"/><Relationship Id="rId69" Type="http://schemas.openxmlformats.org/officeDocument/2006/relationships/header" Target="header2.xml"/><Relationship Id="rId8" Type="http://schemas.openxmlformats.org/officeDocument/2006/relationships/hyperlink" Target="file:///J:\Data\Direktion\16%20Public%20Affairs\3_Vernehmlassungen\National\2024_Behig%20Teilrevision\Inclusion%20Handicap_Vernehmlassungsantwort_BehiG_Revision_19.3.24_MIOs.docx" TargetMode="External"/><Relationship Id="rId51" Type="http://schemas.openxmlformats.org/officeDocument/2006/relationships/hyperlink" Target="file:///J:\Data\Direktion\16%20Public%20Affairs\3_Vernehmlassungen\National\2024_Behig%20Teilrevision\Inclusion%20Handicap_Vernehmlassungsantwort_BehiG_Revision_19.3.24_MIOs.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J:\Data\Direktion\16%20Public%20Affairs\3_Vernehmlassungen\National\2024_Behig%20Teilrevision\Inclusion%20Handicap_Vernehmlassungsantwort_BehiG_Revision_19.3.24_MIOs.docx" TargetMode="External"/><Relationship Id="rId17" Type="http://schemas.openxmlformats.org/officeDocument/2006/relationships/hyperlink" Target="file:///J:\Data\Direktion\16%20Public%20Affairs\3_Vernehmlassungen\National\2024_Behig%20Teilrevision\Inclusion%20Handicap_Vernehmlassungsantwort_BehiG_Revision_19.3.24_MIOs.docx" TargetMode="External"/><Relationship Id="rId25" Type="http://schemas.openxmlformats.org/officeDocument/2006/relationships/hyperlink" Target="file:///J:\Data\Direktion\16%20Public%20Affairs\3_Vernehmlassungen\National\2024_Behig%20Teilrevision\Inclusion%20Handicap_Vernehmlassungsantwort_BehiG_Revision_19.3.24_MIOs.docx" TargetMode="External"/><Relationship Id="rId33" Type="http://schemas.openxmlformats.org/officeDocument/2006/relationships/hyperlink" Target="file:///J:\Data\Direktion\16%20Public%20Affairs\3_Vernehmlassungen\National\2024_Behig%20Teilrevision\Inclusion%20Handicap_Vernehmlassungsantwort_BehiG_Revision_19.3.24_MIOs.docx" TargetMode="External"/><Relationship Id="rId38" Type="http://schemas.openxmlformats.org/officeDocument/2006/relationships/hyperlink" Target="file:///J:\Data\Direktion\16%20Public%20Affairs\3_Vernehmlassungen\National\2024_Behig%20Teilrevision\Inclusion%20Handicap_Vernehmlassungsantwort_BehiG_Revision_19.3.24_MIOs.docx" TargetMode="External"/><Relationship Id="rId46" Type="http://schemas.openxmlformats.org/officeDocument/2006/relationships/hyperlink" Target="file:///J:\Data\Direktion\16%20Public%20Affairs\3_Vernehmlassungen\National\2024_Behig%20Teilrevision\Inclusion%20Handicap_Vernehmlassungsantwort_BehiG_Revision_19.3.24_MIOs.docx" TargetMode="External"/><Relationship Id="rId59" Type="http://schemas.openxmlformats.org/officeDocument/2006/relationships/hyperlink" Target="file:///J:\Data\Direktion\16%20Public%20Affairs\3_Vernehmlassungen\National\2024_Behig%20Teilrevision\Inclusion%20Handicap_Vernehmlassungsantwort_BehiG_Revision_19.3.24_MIOs.docx" TargetMode="External"/><Relationship Id="rId67" Type="http://schemas.openxmlformats.org/officeDocument/2006/relationships/header" Target="header1.xml"/><Relationship Id="rId20" Type="http://schemas.openxmlformats.org/officeDocument/2006/relationships/hyperlink" Target="file:///J:\Data\Direktion\16%20Public%20Affairs\3_Vernehmlassungen\National\2024_Behig%20Teilrevision\Inclusion%20Handicap_Vernehmlassungsantwort_BehiG_Revision_19.3.24_MIOs.docx" TargetMode="External"/><Relationship Id="rId41" Type="http://schemas.openxmlformats.org/officeDocument/2006/relationships/hyperlink" Target="file:///J:\Data\Direktion\16%20Public%20Affairs\3_Vernehmlassungen\National\2024_Behig%20Teilrevision\Inclusion%20Handicap_Vernehmlassungsantwort_BehiG_Revision_19.3.24_MIOs.docx" TargetMode="External"/><Relationship Id="rId54" Type="http://schemas.openxmlformats.org/officeDocument/2006/relationships/hyperlink" Target="file:///J:\Data\Direktion\16%20Public%20Affairs\3_Vernehmlassungen\National\2024_Behig%20Teilrevision\Inclusion%20Handicap_Vernehmlassungsantwort_BehiG_Revision_19.3.24_MIOs.docx" TargetMode="External"/><Relationship Id="rId62" Type="http://schemas.openxmlformats.org/officeDocument/2006/relationships/hyperlink" Target="file:///J:\Data\Direktion\16%20Public%20Affairs\3_Vernehmlassungen\National\2024_Behig%20Teilrevision\Inclusion%20Handicap_Vernehmlassungsantwort_BehiG_Revision_19.3.24_MIOs.docx"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J:\Data\Direktion\16%20Public%20Affairs\3_Vernehmlassungen\National\2024_Behig%20Teilrevision\Inclusion%20Handicap_Vernehmlassungsantwort_BehiG_Revision_19.3.24_MIOs.docx" TargetMode="External"/><Relationship Id="rId23" Type="http://schemas.openxmlformats.org/officeDocument/2006/relationships/hyperlink" Target="file:///J:\Data\Direktion\16%20Public%20Affairs\3_Vernehmlassungen\National\2024_Behig%20Teilrevision\Inclusion%20Handicap_Vernehmlassungsantwort_BehiG_Revision_19.3.24_MIOs.docx" TargetMode="External"/><Relationship Id="rId28" Type="http://schemas.openxmlformats.org/officeDocument/2006/relationships/hyperlink" Target="file:///J:\Data\Direktion\16%20Public%20Affairs\3_Vernehmlassungen\National\2024_Behig%20Teilrevision\Inclusion%20Handicap_Vernehmlassungsantwort_BehiG_Revision_19.3.24_MIOs.docx" TargetMode="External"/><Relationship Id="rId36" Type="http://schemas.openxmlformats.org/officeDocument/2006/relationships/hyperlink" Target="file:///J:\Data\Direktion\16%20Public%20Affairs\3_Vernehmlassungen\National\2024_Behig%20Teilrevision\Inclusion%20Handicap_Vernehmlassungsantwort_BehiG_Revision_19.3.24_MIOs.docx" TargetMode="External"/><Relationship Id="rId49" Type="http://schemas.openxmlformats.org/officeDocument/2006/relationships/hyperlink" Target="file:///J:\Data\Direktion\16%20Public%20Affairs\3_Vernehmlassungen\National\2024_Behig%20Teilrevision\Inclusion%20Handicap_Vernehmlassungsantwort_BehiG_Revision_19.3.24_MIOs.docx" TargetMode="External"/><Relationship Id="rId57" Type="http://schemas.openxmlformats.org/officeDocument/2006/relationships/hyperlink" Target="file:///J:\Data\Direktion\16%20Public%20Affairs\3_Vernehmlassungen\National\2024_Behig%20Teilrevision\Inclusion%20Handicap_Vernehmlassungsantwort_BehiG_Revision_19.3.24_MIOs.docx" TargetMode="External"/><Relationship Id="rId10" Type="http://schemas.openxmlformats.org/officeDocument/2006/relationships/hyperlink" Target="file:///J:\Data\Direktion\16%20Public%20Affairs\3_Vernehmlassungen\National\2024_Behig%20Teilrevision\Inclusion%20Handicap_Vernehmlassungsantwort_BehiG_Revision_19.3.24_MIOs.docx" TargetMode="External"/><Relationship Id="rId31" Type="http://schemas.openxmlformats.org/officeDocument/2006/relationships/hyperlink" Target="file:///J:\Data\Direktion\16%20Public%20Affairs\3_Vernehmlassungen\National\2024_Behig%20Teilrevision\Inclusion%20Handicap_Vernehmlassungsantwort_BehiG_Revision_19.3.24_MIOs.docx" TargetMode="External"/><Relationship Id="rId44" Type="http://schemas.openxmlformats.org/officeDocument/2006/relationships/hyperlink" Target="file:///J:\Data\Direktion\16%20Public%20Affairs\3_Vernehmlassungen\National\2024_Behig%20Teilrevision\Inclusion%20Handicap_Vernehmlassungsantwort_BehiG_Revision_19.3.24_MIOs.docx" TargetMode="External"/><Relationship Id="rId52" Type="http://schemas.openxmlformats.org/officeDocument/2006/relationships/hyperlink" Target="file:///J:\Data\Direktion\16%20Public%20Affairs\3_Vernehmlassungen\National\2024_Behig%20Teilrevision\Inclusion%20Handicap_Vernehmlassungsantwort_BehiG_Revision_19.3.24_MIOs.docx" TargetMode="External"/><Relationship Id="rId60" Type="http://schemas.openxmlformats.org/officeDocument/2006/relationships/hyperlink" Target="file:///J:\Data\Direktion\16%20Public%20Affairs\3_Vernehmlassungen\National\2024_Behig%20Teilrevision\Inclusion%20Handicap_Vernehmlassungsantwort_BehiG_Revision_19.3.24_MIOs.docx" TargetMode="External"/><Relationship Id="rId65" Type="http://schemas.openxmlformats.org/officeDocument/2006/relationships/hyperlink" Target="file:///J:\Data\Direktion\16%20Public%20Affairs\3_Vernehmlassungen\National\2024_Behig%20Teilrevision\Inclusion%20Handicap_Vernehmlassungsantwort_BehiG_Revision_19.3.24_MIOs.docx" TargetMode="External"/><Relationship Id="rId4" Type="http://schemas.openxmlformats.org/officeDocument/2006/relationships/webSettings" Target="webSettings.xml"/><Relationship Id="rId9" Type="http://schemas.openxmlformats.org/officeDocument/2006/relationships/hyperlink" Target="file:///J:\Data\Direktion\16%20Public%20Affairs\3_Vernehmlassungen\National\2024_Behig%20Teilrevision\Inclusion%20Handicap_Vernehmlassungsantwort_BehiG_Revision_19.3.24_MIOs.docx" TargetMode="External"/><Relationship Id="rId13" Type="http://schemas.openxmlformats.org/officeDocument/2006/relationships/hyperlink" Target="file:///J:\Data\Direktion\16%20Public%20Affairs\3_Vernehmlassungen\National\2024_Behig%20Teilrevision\Inclusion%20Handicap_Vernehmlassungsantwort_BehiG_Revision_19.3.24_MIOs.docx" TargetMode="External"/><Relationship Id="rId18" Type="http://schemas.openxmlformats.org/officeDocument/2006/relationships/hyperlink" Target="file:///J:\Data\Direktion\16%20Public%20Affairs\3_Vernehmlassungen\National\2024_Behig%20Teilrevision\Inclusion%20Handicap_Vernehmlassungsantwort_BehiG_Revision_19.3.24_MIOs.docx" TargetMode="External"/><Relationship Id="rId39" Type="http://schemas.openxmlformats.org/officeDocument/2006/relationships/hyperlink" Target="file:///J:\Data\Direktion\16%20Public%20Affairs\3_Vernehmlassungen\National\2024_Behig%20Teilrevision\Inclusion%20Handicap_Vernehmlassungsantwort_BehiG_Revision_19.3.24_MIOs.docx" TargetMode="External"/><Relationship Id="rId34" Type="http://schemas.openxmlformats.org/officeDocument/2006/relationships/hyperlink" Target="file:///J:\Data\Direktion\16%20Public%20Affairs\3_Vernehmlassungen\National\2024_Behig%20Teilrevision\Inclusion%20Handicap_Vernehmlassungsantwort_BehiG_Revision_19.3.24_MIOs.docx" TargetMode="External"/><Relationship Id="rId50" Type="http://schemas.openxmlformats.org/officeDocument/2006/relationships/hyperlink" Target="file:///J:\Data\Direktion\16%20Public%20Affairs\3_Vernehmlassungen\National\2024_Behig%20Teilrevision\Inclusion%20Handicap_Vernehmlassungsantwort_BehiG_Revision_19.3.24_MIOs.docx" TargetMode="External"/><Relationship Id="rId55" Type="http://schemas.openxmlformats.org/officeDocument/2006/relationships/hyperlink" Target="file:///J:\Data\Direktion\16%20Public%20Affairs\3_Vernehmlassungen\National\2024_Behig%20Teilrevision\Inclusion%20Handicap_Vernehmlassungsantwort_BehiG_Revision_19.3.24_MIOs.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clusion-handicap.ch/admin/data/files/asset/file_de/822/20231130_positionspapier_ende-behig-frist_oev_d.pdf?lm=1701248610" TargetMode="External"/><Relationship Id="rId1" Type="http://schemas.openxmlformats.org/officeDocument/2006/relationships/hyperlink" Target="https://tbinternet.ohchr.org/_layouts/15/treatybodyexternal/Download.aspx?symbolno=CRPD%2FC%2FCHE%2FCO%2F1&amp;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PI%20Vorlagen%202019\Pi_de_Brief.dotm" TargetMode="External"/></Relationships>
</file>

<file path=word/theme/theme1.xml><?xml version="1.0" encoding="utf-8"?>
<a:theme xmlns:a="http://schemas.openxmlformats.org/drawingml/2006/main" name="pro_infirmis">
  <a:themeElements>
    <a:clrScheme name="Pro Infirmis Colors">
      <a:dk1>
        <a:sysClr val="windowText" lastClr="000000"/>
      </a:dk1>
      <a:lt1>
        <a:sysClr val="window" lastClr="FFFFFF"/>
      </a:lt1>
      <a:dk2>
        <a:srgbClr val="008481"/>
      </a:dk2>
      <a:lt2>
        <a:srgbClr val="FFFFFF"/>
      </a:lt2>
      <a:accent1>
        <a:srgbClr val="B5003C"/>
      </a:accent1>
      <a:accent2>
        <a:srgbClr val="C8D300"/>
      </a:accent2>
      <a:accent3>
        <a:srgbClr val="005C7E"/>
      </a:accent3>
      <a:accent4>
        <a:srgbClr val="BBBBA0"/>
      </a:accent4>
      <a:accent5>
        <a:srgbClr val="64C2CB"/>
      </a:accent5>
      <a:accent6>
        <a:srgbClr val="D45D7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Pro Infirmis Colors">
        <a:dk1>
          <a:sysClr val="windowText" lastClr="000000"/>
        </a:dk1>
        <a:lt1>
          <a:sysClr val="window" lastClr="FFFFFF"/>
        </a:lt1>
        <a:dk2>
          <a:srgbClr val="008481"/>
        </a:dk2>
        <a:lt2>
          <a:srgbClr val="FFFFFF"/>
        </a:lt2>
        <a:accent1>
          <a:srgbClr val="B5003C"/>
        </a:accent1>
        <a:accent2>
          <a:srgbClr val="C8D300"/>
        </a:accent2>
        <a:accent3>
          <a:srgbClr val="005C7E"/>
        </a:accent3>
        <a:accent4>
          <a:srgbClr val="BBBBA0"/>
        </a:accent4>
        <a:accent5>
          <a:srgbClr val="64C2CB"/>
        </a:accent5>
        <a:accent6>
          <a:srgbClr val="D45D79"/>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ro_infirmis" id="{D4512CD2-E035-447C-A857-6F28DD56D74D}" vid="{376C6729-D50F-42E0-942F-FF0A12A45021}"/>
    </a:ext>
  </a:extLst>
</a:theme>
</file>

<file path=docProps/app.xml><?xml version="1.0" encoding="utf-8"?>
<Properties xmlns="http://schemas.openxmlformats.org/officeDocument/2006/extended-properties" xmlns:vt="http://schemas.openxmlformats.org/officeDocument/2006/docPropsVTypes">
  <Template>Pi_de_Brief</Template>
  <TotalTime>0</TotalTime>
  <Pages>36</Pages>
  <Words>15972</Words>
  <Characters>100629</Characters>
  <Application>Microsoft Office Word</Application>
  <DocSecurity>0</DocSecurity>
  <Lines>838</Lines>
  <Paragraphs>232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Schueepp Philipp</dc:creator>
  <cp:keywords/>
  <dc:description/>
  <cp:lastModifiedBy>Schueepp Philipp</cp:lastModifiedBy>
  <cp:revision>33</cp:revision>
  <cp:lastPrinted>2024-03-27T08:15:00Z</cp:lastPrinted>
  <dcterms:created xsi:type="dcterms:W3CDTF">2023-11-15T13:31:00Z</dcterms:created>
  <dcterms:modified xsi:type="dcterms:W3CDTF">2024-03-27T08:19:00Z</dcterms:modified>
</cp:coreProperties>
</file>